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7B_437/2025 vom 25. Juni 2025</w:t>
      </w:r>
    </w:p>
    <w:p>
      <w:r>
        <w:t>Bundesgericht, 2025-06-25, FR</w:t>
      </w:r>
    </w:p>
    <w:p>
      <w:r>
        <w:rPr>
          <w:b/>
        </w:rPr>
        <w:t xml:space="preserve">Quelle: </w:t>
      </w:r>
      <w:r>
        <w:t>https://mcp.opencaselaw.ch/entscheid/bger_7B_437_2025</w:t>
      </w:r>
    </w:p>
    <w:p>
      <w:r>
        <w:t>FR: TF 7B_437/2025 du 25 juin 2025</w:t>
      </w:r>
    </w:p>
    <w:p>
      <w:r>
        <w:t>IT: TF 7B_437/2025 del 25 giugno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l'action civile par adhésion à la procédure pénale (arrêts 7B_1438/2024 du 29 janvier 2025 consid. 1.1; 7B_10/2021 du 26 juillet 2023 consid. 1.1.1 et les réf. citées).</w:t>
      </w:r>
    </w:p>
    <w:p>
      <w:r>
        <w:rPr>
          <w:b/>
        </w:rPr>
        <w:t>E. 1.3</w:t>
      </w:r>
    </w:p>
    <w:p>
      <w:r>
        <w:t>En l'espèce, sous l'angle de la recevabilité de son recours, la recourante se borne à indiquer que les prétentions civiles qu'elle entend faire valoir envers les personnes contre lesquelles elle a porté plainte pénale "concernent principalement les dommages-intérêts subis résultant de la perte totale de sa marchandise, les coûts de stockage de cette dernière pendant des années, les frais de justice qu'elle a dû assumer, le manque à gagner, les intérêts des emprunts qu'elle a dû conclure et pas encore pu rembourser ainsi que les honoraires d'avocat versés à la société de ce[s] derniers".</w:t>
      </w:r>
    </w:p>
    <w:p>
      <w:r>
        <w:rPr>
          <w:b/>
        </w:rPr>
        <w:t>E. 1.4</w:t>
      </w:r>
    </w:p>
    <w:p>
      <w:r>
        <w:t>Ce faisant, la recourante n'expose pas plus avant les éléments qui fonderaient ses prétentions civiles que, du reste, elle ne chiffre pas, même grossièrement. Elle n'indique en outre pas, et on ne voit pas, ce qui l'aurait empêchée de fournir de plus amples précisions à cet égard.</w:t>
      </w:r>
    </w:p>
    <w:p>
      <w:r>
        <w:t>Par ailleurs, interpellée sur l'existence d'une procédure civile pendante l'opposant aux avocats C.________, D.________ et E.________ - comme cela ressort de l'arrêt rendu le 6 janvier 2025 dans la cause 4A_680/2024 (cf. consid. 1) -, la recourante a indiqué qu'en raison du rejet de sa requête d'assistance judiciaire par le tribunal civil, elle avait retiré sa demande en paiement contre les précités et que, par acte du 17 mars 2025, elle avait réintroduit une action contre les mêmes personnes et portant sur le même objet. À ce propos, il ressort de la demande en paiement déposée le 17 mars 2025, dont une copie a été transmise à la Cour de céans par le tribunal civil, que la cause concerne précisément les faits reprochés aux défendeurs dans le cadre de la plainte pénale déposée par la recourante et que les conclusions portent sur un montant de plus de 4 millions à titre de dommages-intérêts, ainsi que sur une somme de 25'000 fr. à titre d'indemnisation du tort moral prétendument subi.</w:t>
      </w:r>
    </w:p>
    <w:p>
      <w:r>
        <w:t>Or la recourante ne cherche pas à démontrer qu'en dépit de la procédure civile réintroduite contre les avocats visés par sa plainte et partant de cette litispendance préexistante, elle pourrait également intenter une action civile par adhésion à la procédure pénale (cf. art. 59 al. 2 let . d CPC). Peu importe à cet égard que la procédure civile ne soit pas encore contradictoire et que l'exigence du paiement d'une avance de frais soit actuellement suspendue jusqu'à droit connu sur un recours interjeté par la recourante contre le refus de lui accorder l'assistance judiciaire; l'instance est introduite par le dépôt de la requête de conciliation, de la demande ou de la requête en justice, ou de la requête commune en divorce ( art. 62 al. 1 CPC ). La recourante ne dit finalement mot sur toute prétention civile qui ne ferait pas l'objet de cette procédure civile et qu'elle pourrait faire valoir dans le procès pénal envers les personnes contre lesquelles elle a déposé plainte. Elle n'articule ainsi aucune motivation, conforme aux exigences en la matière, propre à établir que la décision attaquée pourrait avoir des effets sur le jugement de ses prétentions civiles.</w:t>
      </w:r>
    </w:p>
    <w:p>
      <w:r>
        <w:rPr>
          <w:b/>
        </w:rPr>
        <w:t>E. 1.5</w:t>
      </w:r>
    </w:p>
    <w:p>
      <w:r>
        <w:t>La recourante ne démontre par conséquent pas avoir qualité pour recourir sur le fond en application de l'art. 81 al. 1 let. a et b ch. 5 LTF.</w:t>
      </w:r>
    </w:p>
    <w:p>
      <w:r>
        <w:rPr>
          <w:b/>
        </w:rPr>
        <w:t>E. 2</w:t>
      </w:r>
    </w:p>
    <w:p>
      <w:r>
        <w:t>La recourante reproche au surplus à la cour cantonale d'avoir violé l' art. 31 CP en considérant que sa plainte pour l'infraction d'atteinte astucieuse aux intérêts pécuniaires d'autrui ( art. 151 CP ) était manifestement tardive. Certes, la recourante invoque ainsi une violation de son droit de porter plainte et est, dans cette mesure, habilitée à former un recours en matière pénale (art. 81 al. 1 let. b ch. 6 LTF). Dans ce cadre, elle peut toutefois uniquement soulever des griefs relatifs à l'irrégularité de ce droit et de ses conditions (art. 30 à 33 CP) sans être habilitée à s'en prendre à la décision rendue sur le fond, ni à la décision de non-entrée en matière ou de classement (cf. arrêt 7B_507/2023 du 20 mars 2024 consid. 2.1; 6B_1517/2022 du 13 février 2023 consid. 2.2 et les réf. citées).</w:t>
      </w:r>
    </w:p>
    <w:p>
      <w:r>
        <w:t>La cour cantonale a en l'occurrence non seulement estimé que la plainte pénale de la recourante pour l'infraction visée par l' art. 151 CP était tardive, mais a également retenu que les éléments constitutifs de cette infraction n'apparaissaient pas réalisés (cf. arrêt attaqué, consid. 3.4 p. 15 s.). Or, lorsque la décision attaquée comporte - comme en l'espèce - plusieurs motivations indépendantes, alternatives ou subsidiaires, toutes suffisantes pour sceller le sort de la cause, la partie recourante doit, sous peine d'irrecevabilité, démontrer que chacune d'elles est contraire au droit (cf. art. 42 al. 2 LTF ; ATF 142 III 364 consid. 2.4; 138 I 97 consid. 4.1.4). Cela étant, dans la mesure où l'un des deux motifs retenus par l'autorité précédente se rapporte au fond du litige, la recourante n'a pas la qualité pour recourir pour contester ce pan de la motivation cantonale, faute d'avoir démontré que l'arrêt attaqué aurait des effets sur le jugement de ses prétentions civiles (cf. consid. 1</w:t>
      </w:r>
    </w:p>
    <w:p>
      <w:r>
        <w:t>supra ). Son grief en lien avec une violation de son droit de porter plainte est dès lors, à lui seul, manifestement impropre à démontrer que l'autorité précédente aurait violé le droit fédéral en rejetant son recours cantonal.</w:t>
      </w:r>
    </w:p>
    <w:p>
      <w:r>
        <w:rPr>
          <w:b/>
        </w:rPr>
        <w:t>E. 3</w:t>
      </w:r>
    </w:p>
    <w:p>
      <w:r>
        <w:t>La recourante n'invoque enfin pas de violation de ses droits de partie équivalant à un déni de justice formel (cf. ATF 141 IV 1 consid. 1.1).</w:t>
      </w:r>
    </w:p>
    <w:p>
      <w:r>
        <w:rPr>
          <w:b/>
        </w:rPr>
        <w:t>E. 4</w:t>
      </w:r>
    </w:p>
    <w:p>
      <w:r>
        <w:t>Il résulte de ce qui précède que le recours doit être déclaré irrecevable. Comme il était d'emblée dénué de chances de succès, la demande d'assistance judiciaire doit être rejetée ( art. 64 al. 1 LTF ). La recourante,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