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7B_436/2026 vom 26. Mai 2026</w:t>
      </w:r>
    </w:p>
    <w:p>
      <w:r>
        <w:t>Bundesgericht, 2026-05-26, FR</w:t>
      </w:r>
    </w:p>
    <w:p>
      <w:r>
        <w:rPr>
          <w:b/>
        </w:rPr>
        <w:t xml:space="preserve">Quelle: </w:t>
      </w:r>
      <w:r>
        <w:t>https://mcp.opencaselaw.ch/entscheid/bger_7B_436_2026</w:t>
      </w:r>
    </w:p>
    <w:p>
      <w:r>
        <w:t>FR: TF 7B_436/2026 du 26 mai 2026</w:t>
      </w:r>
    </w:p>
    <w:p>
      <w:r>
        <w:t>IT: TF 7B_436/2026 del 26 maggio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1.2</w:t>
      </w:r>
    </w:p>
    <w:p>
      <w:r>
        <w:t>En l'occurrence, la cour cantonale a déclaré irrecevable le recours du recourant, faute de motivation suffisante. Elle a en effet constaté que le recourant ne contestait pas le raisonnement du TMC selon lequel il n'était pas compétent pour se prononcer sur sa requête (arrêt attaqué, consid. 1.3). La cour cantonale a en outre constaté que, quand bien même le recourant aurait saisi la bonne instance, ses prétentions étaient manifestement prescrites en application de l'art. 7 de la loi vaudoise sur la responsabilité de l'État, des communes et de leurs agents (LRECA/VD; BLV 170.11; arrêt attaqué, consid. 1.4).</w:t>
      </w:r>
    </w:p>
    <w:p>
      <w:r>
        <w:rPr>
          <w:b/>
        </w:rPr>
        <w:t>E. 1.3</w:t>
      </w:r>
    </w:p>
    <w:p>
      <w:r>
        <w:t>Le raisonnement de la cour cantonale repose ainsi sur une double motivation, dont chaque pan est indépendant et suffit à sceller l'issue de la cause. Dans une telle configuration, il appartenait au recourant de discuter chacune de ces deux motivations (cf. ATF 149 III 318 consid. 3.1.3; arrêt 7B_1356/2024 du 10 février 2025 consid. 2.3), ce qu'il ne fait pas. En effet, le recourant se contente de réitérer ses arguments relatifs aux conditions de sa détention et de soutenir que ses prétentions ne seraient pas prescrites. Il ne développe en revanche aucune argumentation en lien avec les considérations de la cour cantonale relatives à la recevabilité de son recours: il n'allègue en particulier pas, ni a fortiori ne démontre avoir, dans son recours cantonal, critiqué le raisonnement qui avait conduit le TMC à nier sa compétence. Ce faisant, le recourant ne conteste pas le premier motif invoqué par la cour cantonale, qui scelle à lui seul le sort du litige, et son recours est dès lors irrecevable.</w:t>
      </w:r>
    </w:p>
    <w:p>
      <w:r>
        <w:rPr>
          <w:b/>
        </w:rPr>
        <w:t>E. 2</w:t>
      </w:r>
    </w:p>
    <w:p>
      <w:r>
        <w:t>L'irrecevabilité manifeste du recours doit ainsi être constatée dans la procédure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