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435/2023 vom 16. Oktober 2023</w:t>
      </w:r>
    </w:p>
    <w:p>
      <w:r>
        <w:t>Bundesgericht, 2023-10-16, FR</w:t>
      </w:r>
    </w:p>
    <w:p>
      <w:r>
        <w:rPr>
          <w:b/>
        </w:rPr>
        <w:t xml:space="preserve">Quelle: </w:t>
      </w:r>
      <w:r>
        <w:t>https://mcp.opencaselaw.ch/entscheid/bger_7B_435_2023</w:t>
      </w:r>
    </w:p>
    <w:p>
      <w:r>
        <w:t>FR: TF 7B 435/2023 du 16 octobre 2023</w:t>
      </w:r>
    </w:p>
    <w:p>
      <w:r>
        <w:t>IT: TF 7B 435/2023 del 16 ottobre 2023</w:t>
      </w:r>
    </w:p>
    <w:p>
      <w:pPr>
        <w:pStyle w:val="Heading2"/>
      </w:pPr>
      <w:r>
        <w:t>Regeste</w:t>
      </w:r>
    </w:p>
    <w:p>
      <w:r>
        <w:t>Récusation; irrecevabilité du recours en matière pénale (motivation insuffisante), | Questions de compétences, garantie du juge du domicile et du ...</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s'il était vrai que la I e Cour administrative avait été amenée à statuer régulièrement dans des causes qui lui avaient été soumises par le recourant, cela ne suffisait toutefois pas à remettre en question l'impartialité des juges concernés dans une nouvelle procédure de recours. Il ne ressortait en outre pas des arrêts précédemment rendus des éléments faisant apparaître une activité partiale des juges ordinaires de la I e Cour administrative (cf. arrêt attaqué, consid. 3.2 et 3.3 p. 4 s.).</w:t>
      </w:r>
    </w:p>
    <w:p>
      <w:r>
        <w:rPr>
          <w:b/>
        </w:rPr>
        <w:t>E. 1.3</w:t>
      </w:r>
    </w:p>
    <w:p>
      <w:r>
        <w:t>Face à la motivation cantonale, le recourant se borne pour l'essentiel à critiquer la condamnation pénale et différents éléments portant sur l'exécution des peines et des mesures dont il a fait l'objet, soit notamment des expertises psychiatriques établies et le refus de libération conditionnelle qui en aurait découlé. Il échoue ainsi à mettre en évidence, par une motivation conforme aux exigences en la matière, en quoi l'autorité précédente aurait violé le droit (soit en particulier l' art. 30 al. 1 Cst. ) en rejetant sa demande de récusation. Il en va pour le surplus de même de tout moyen que le recourant semble vouloir tirer des art. 86 à 88 et 128 à 135 CPP, ainsi que des art. 3, 5, 6, 7 et 13 CEDH, voire encore de l' art. 9 Cst. , de l' art. 312 CP , du droit administratif et de la loi fédérale sur le travail (LTr, RS 822.11), tous ces éléments n'étant pas motivés à satisfaction de droit (cf. art. 42 al. 2 et 106 al. 2 LTF).</w:t>
      </w:r>
    </w:p>
    <w:p>
      <w:r>
        <w:rPr>
          <w:b/>
        </w:rPr>
        <w:t>E. 1.4</w:t>
      </w:r>
    </w:p>
    <w:p>
      <w:r>
        <w:t>Le recours ne répondant ainsi manifestement pas aux exigences de motivation d'un recours en matière pénale au Tribunal fédéral, il doit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