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7B_431/2024 vom 24. Mai 2024</w:t>
      </w:r>
    </w:p>
    <w:p>
      <w:r>
        <w:t>Bundesgericht, 2024-05-24, DE</w:t>
      </w:r>
    </w:p>
    <w:p>
      <w:r>
        <w:rPr>
          <w:b/>
        </w:rPr>
        <w:t xml:space="preserve">Quelle: </w:t>
      </w:r>
      <w:r>
        <w:t>https://mcp.opencaselaw.ch/entscheid/bger_7B_431_2024</w:t>
      </w:r>
    </w:p>
    <w:p>
      <w:r>
        <w:t>FR: TF 7B_431/2024 du 24 mai 2024</w:t>
      </w:r>
    </w:p>
    <w:p>
      <w:r>
        <w:t>IT: TF 7B_431/2024 del 24 maggio 2024</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Dem angefochtenen kantonal letztinstanzlichen Entscheid liegt ein Beschwerdeverfahren über die Gewährung bzw. Beschränkung des Akteneinsichtsrechs an die Verfahrensbeteiligten des Hauptverfahrens sowie die Aussonderung von Verfahrensakten aus zwei Entsiegelungsverfahren zugrunde. Dagegen steht die Beschwerde in Strafsachen grundsätzlich offen ( Art. 78 Abs. 1, Art. 80 Abs. 1 BGG ). Der Entscheid der Vorinstanz schliesst das gegen die Beschuldigten wegen Widerhandlungen gegen das UWG, möglicherweise Betrugs, geführte Hauptverfahren indes nicht ab und betrifft weder die Zuständigkeit noch ein Ausstandsbegehren im Sinne von Art. 92 BGG . Es handelt sich somit um einen anderen selbstständig eröffneten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149 II 170 E. 1.3; 144 III 253 E. 1.3; 140 V 321 E. 3.6).</w:t>
      </w:r>
    </w:p>
    <w:p>
      <w:r>
        <w:rPr>
          <w:b/>
        </w:rPr>
        <w:t>E. 1.3</w:t>
      </w:r>
    </w:p>
    <w:p>
      <w:r>
        <w:t>Der anwaltlich doppelt vertretene Beschwerdeführer geht davon aus, dass es sich beim angefochtenen Beschluss um einen das Strafverfahren abschliessenden Endentscheid gemäss Art. 90 BGG handelt, was nach dem Ausgeführten nicht zutrifft. Zu den Eintretensvoraussetzungen gemäss Art. 93 Abs. 1 lit. a BGG äussert er sich nicht und führt er insbesondere nicht aus, inwiefern ihm durch den angefochtenen Beschluss ein nicht wieder gutzumachender Nachteil rechtlicher Natur entstehen könnte. Dies ist angesichts der Tatsache, dass das Bundesgericht in seinem Urteil 1B_328/2022 vom 2. Februar 2023 (E. 2) entschieden hat, das kantonale Zwangsmassnahmengericht habe das sichergestellte Mobiltelefon des Beschwerdeführers zu Recht nicht zur Entsiegelung freigegeben, und die vom Beschwerdeführer im Entsiegelungsverfahren angerufenen Geheimnisrechte somit inhaltlich nicht preisgegeben werden können, auch nicht ersichtlich. Mangels hinreichender Darlegung eines nicht wieder gutzumachenden Nachteils im Sinne von Art. 93 Abs. 1 lit. a BGG sind die Voraussetzungen für einen selbständigen Weiterzug des angefochtenen Zwischenentscheids vom 12. März 2024 an das Bundesgericht nicht erfüllt.</w:t>
      </w:r>
    </w:p>
    <w:p>
      <w:r>
        <w:rPr>
          <w:b/>
        </w:rPr>
        <w:t>E. 2</w:t>
      </w:r>
    </w:p>
    <w:p>
      <w:r>
        <w:t>Auf die Beschwerde ist nicht einzutreten. Bei diesem Verfahrensausgang wird der Beschwerdeführer kostenpflichtig ( Art. 66 Abs. 1 BGG ). Parteientschädigungen sind keine geschuldet ( Art. 68 Abs. 1 - 3 BGG ). Mit dem vorliegenden 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