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430/2023 vom 17. Oktober 2023</w:t>
      </w:r>
    </w:p>
    <w:p>
      <w:r>
        <w:t>Bundesgericht, 2023-10-17, DE</w:t>
      </w:r>
    </w:p>
    <w:p>
      <w:r>
        <w:rPr>
          <w:b/>
        </w:rPr>
        <w:t xml:space="preserve">Quelle: </w:t>
      </w:r>
      <w:r>
        <w:t>https://mcp.opencaselaw.ch/entscheid/bger_7B_430_2023</w:t>
      </w:r>
    </w:p>
    <w:p>
      <w:r>
        <w:t>FR: TF 7B 430/2023 du 17 octobre 2023</w:t>
      </w:r>
    </w:p>
    <w:p>
      <w:r>
        <w:t>IT: TF 7B 430/2023 del 17 ottobre 2023</w:t>
      </w:r>
    </w:p>
    <w:p>
      <w:pPr>
        <w:pStyle w:val="Heading2"/>
      </w:pPr>
      <w:r>
        <w:t>Regeste</w:t>
      </w:r>
    </w:p>
    <w:p>
      <w:r>
        <w:t>Rechtsverweigerung; Akteneinsicht; Nichteintreten | Strafprozess</w:t>
      </w:r>
    </w:p>
    <w:p>
      <w:pPr>
        <w:pStyle w:val="Heading2"/>
      </w:pPr>
      <w:r>
        <w:t>Erwägungen</w:t>
      </w:r>
    </w:p>
    <w:p>
      <w:r>
        <w:rPr>
          <w:b/>
        </w:rPr>
        <w:t>E. 1</w:t>
      </w:r>
    </w:p>
    <w:p>
      <w:r>
        <w:t>Mit Präsidialverfügung vom 4. August 2023 wies die II. Strafkammer des Obergerichts des Kantons Zürich das Gesuch der amtlichen Verteidigung von A.________ um Herausgabe der Tonaufnahme einstweilen ab. Mit Eingabe vom 9. August 2023 führt A.________ Beschwerde in Strafsachen an das Bundesgericht und beantragt, die Aufhebung der Präsidialverfügung vom 4. August 2023 wegen Rechtsverweigerung, da ihm die Tonaufnahme nicht herausgegeben worden sei. Er beziehe eine IV-Rente, weshalb er sich auf das Übereinkommen vom 13. Dezember 2006 über die Rechte von Menschen mit Behinderung (SR 0.109) beziehen könne. Er habe aufgrund seiner Behinderung nicht an der Hauptverhandlung teilnehmen können, weshalb er nun, um die Richtigkeit des Protokolls zu überprüfen und Korrekturen beantragen zu können, die Tonaufnahmen benötige. Mit Schreiben vom 11. August 2023 machte er geltend, es handle sich bei der Eingabe vom 9. August 2023 um eine subsidiäre Verfassungsbeschwerde, dabei habe er an das "verfassungsmässige Grundrecht Allgemeine Verfahrensgarantien" gedacht. Die Präsidialverfügung sei wegen einer Verletzung von Art. 29 Abs. 2 BV und wegen einer Verletzung von Völkerrecht aufzuheben.</w:t>
      </w:r>
    </w:p>
    <w:p>
      <w:r>
        <w:rPr>
          <w:b/>
        </w:rPr>
        <w:t>E. 2.1</w:t>
      </w:r>
    </w:p>
    <w:p>
      <w:r>
        <w:t>Die angefochtene Präsidialverfügung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rPr>
          <w:b/>
        </w:rPr>
        <w:t>E. 2.2</w:t>
      </w:r>
    </w:p>
    <w:p>
      <w:r>
        <w:t>Der Beschwerdeführer behauptet, er habe wegen seiner Behinderung nicht an der Hauptverhandlung teilnehmen können und wenn er jetzt die Tonaufnahme nicht erhalte, werde er wegen seiner Behinderung ausgeschlossen, was nicht mit dem Übereinkommen über die Rechte von Menschen mit Behinderung vereinbar sei. Der Beschwerdeführer ist gemäss eigenen Angaben aus gesundheitlichen Gründen von seiner Teilnahme an der Hauptverhandlung dispensiert worden. Worin diese Gründe lagen, erschliesst sich indessen nicht. Weiter behauptet er, Rechtsanwältin B.________ habe ihm gesagt, dass das Protokoll falsch und unvollständig sei. Mit diesen Ausführungen zeigt er indessen keinen drohenden nicht wiedergutzumachenden Nachteil im Sinne von Art. 93 Abs. 1 lit. a BGG auf. Die Beschwerde richtet sich damit gegen einen nicht anfechtbaren Zwischenentscheid. Darauf ist im vereinfachten Verfahren nach Art. 108 Abs. 1 BGG nicht einzutreten.</w:t>
      </w:r>
    </w:p>
    <w:p>
      <w:r>
        <w:rPr>
          <w:b/>
        </w:rPr>
        <w:t>E. 3</w:t>
      </w:r>
    </w:p>
    <w:p>
      <w:r>
        <w:t>Bei diesem Ausgang des Verfahrens ist das Gesuch des Beschwerdeführers um unentgeltliche Rechtspflege und Verbeiständung abzuweisen ( Art. 64 Abs. 1 und 2 BGG ). Damit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