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7B_429/2023 vom 3. Juni 2024</w:t>
      </w:r>
    </w:p>
    <w:p>
      <w:r>
        <w:t>Bundesgericht, 2024-06-03, DE</w:t>
      </w:r>
    </w:p>
    <w:p>
      <w:r>
        <w:rPr>
          <w:b/>
        </w:rPr>
        <w:t xml:space="preserve">Quelle: </w:t>
      </w:r>
      <w:r>
        <w:t>https://mcp.opencaselaw.ch/entscheid/bger_7B_429_2023</w:t>
      </w:r>
    </w:p>
    <w:p>
      <w:r>
        <w:t>FR: TF 7B_429/2023 du 3 juin 2024</w:t>
      </w:r>
    </w:p>
    <w:p>
      <w:r>
        <w:t>IT: TF 7B_429/2023 del 3 giugno 2024</w:t>
      </w:r>
    </w:p>
    <w:p>
      <w:pPr>
        <w:pStyle w:val="Heading2"/>
      </w:pPr>
      <w:r>
        <w:t>Erwägungen</w:t>
      </w:r>
    </w:p>
    <w:p>
      <w:r>
        <w:rPr>
          <w:b/>
        </w:rPr>
        <w:t>E. 1</w:t>
      </w:r>
    </w:p>
    <w:p>
      <w:r>
        <w:t>Das Bundesgericht beurteilt Beschwerden gegen Entscheide in Strafsachen ( Art. 78 Abs. 1 BGG ). Die Beschwerde ist zulässig gegen Entscheide letzter kantonaler Instanzen ( Art. 80 BGG ). Zur Beschwerde in Strafsachen ist berechtigt, wer vor der Vorinstanz am Verfahren teilgenommen hat oder keine Möglichkeit zur Teilnahme erhalten hat und ein rechtlich geschütztes Interesse an der Aufhebung oder Änderung des angefochtenen Entscheids hat ( Art. 81 Abs. 1 BGG ). Gegen andere selbständig eröffnete Vor- und Zwischenentscheide als jene über die Zuständigkeit und über Ausstandsbegehren ist die Beschwerde zulässig, wenn sie einen nicht wieder gutzumachenden Nachteil bewirken können ( Art. 93 Abs. 1 lit. a BGG ).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w:t>
      </w:r>
    </w:p>
    <w:p>
      <w:r>
        <w:t>Nach ständiger Rechtsprechung können Beschlagnahmen von Vermögenswerten und insbesondere Kontosperren ohne Weiteres einen nicht wieder gutzumachenden Nachteil für die Betroffenen bewirken ( BGE 128 I 129 E. 1 ; 126 I 97 E. 1b; Urteile 7B_140/2022 vom 2. November 2023 E. 1.2; 1B_691/2021 vom 21. Juli 2022 E. 1.1; 1B_175/2015 vom 10. August 2015 E. 1, nicht publ. in: BGE 141 IV 360 ). Soweit sich die Beschwerde gegen die von der Bundesanwaltschaft verfügte Beschlagnahme der betroffenen Bankkonten richtet, kann darauf - unter Vorbehalt der nachfolgenden Ausführungen - grundsätzlich eingetreten werden. Auf die über diesen Verfahrensgegenstand hinausgehenden Anträge und Vorbringen der Beschwerdeführerin ist hingegen nicht einzutreten.</w:t>
      </w:r>
    </w:p>
    <w:p>
      <w:r>
        <w:rPr>
          <w:b/>
        </w:rPr>
        <w:t>E. 2</w:t>
      </w:r>
    </w:p>
    <w:p>
      <w:r>
        <w:t>Die Beschwerdeführerin macht sinngemäss geltend, die Bundesanwaltschaft hätte ihre Bankkonten nicht beschlagnahmen dürfen.</w:t>
      </w:r>
    </w:p>
    <w:p>
      <w:r>
        <w:rPr>
          <w:b/>
        </w:rPr>
        <w:t>E. 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BGE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2.2</w:t>
      </w:r>
    </w:p>
    <w:p>
      <w:r>
        <w:t>Nach Art. 263 Abs. 1 lit. d und e StPO können Gegenstände und Vermögenswerte einer beschuldigten Person oder einer Drittperson beschlagnahmt werden, wenn die Gegenstände und Vermögenswerte voraussichtlich einzuziehen sind oder zur Deckung von Ersatzforderungen des Staates gemäss Art. 71 StGB gebraucht werden. Die StPO regelt als weitere strafprozessuale Beschlagnahmeart unter anderem die Kostendeckungsbeschlagnahme (Art. 263 Abs. 1 lit. b i.V.m. Art. 268 StPO ).</w:t>
      </w:r>
    </w:p>
    <w:p>
      <w:r>
        <w:t>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auf eine Ersatzforderung des Staates in gleicher Höhe, gegenüber einer Drittperson jedoch nur, soweit dies nach Art. 70 Abs. 2 StGB nicht ausgeschlossen ist ( Art. 71 Abs. 1 StGB ).</w:t>
      </w:r>
    </w:p>
    <w:p>
      <w:r>
        <w:t>Strafprozessuale Zwangsmassnahmen können nur ergriffen werden, wenn ein hinreichender Tatverdacht vorliegt ( Art. 197 Abs. 1 lit. b StPO ). Sie müssen zudem verhältnismässig sein, dürfen also nur soweit angeordnet und aufrecht erhalten werden, als die angestrebten Ziele nicht durch mildere Massnahmen erreicht werden können und die Bedeutung der Straftat die Zwangsmassnahme rechtfertigt ( Art. 197 Abs. 1 lit. c und d StPO ). Zwangsmassnahmen, die in die Grundrechte nicht beschuldigter Personen eingreifen, sind besonders zurückhaltend einzusetzen ( Art. 197 Abs. 2 StPO ). Die Beschlagnahme ist eine konservatorische provisorische Massnahme, welche die Bewahrung von Gegenständen und Vermögenswerten bezweckt, die das Sachgericht unter anderem einziehen oder der geschädigten Person zurückerstatten könnte, oder die der Durchsetzung einer Ersatzforderung dienen könnten. Solange die Strafuntersuchung nicht abgeschlossen ist und die Möglichkeit einer Einziehung, einer Rückerstattung an die geschädigte Person oder einer Ersatzforderung besteht, ist die Aufrechterhaltung der Beschlagnahme daher grundsätzlich verhältnismässig ( BGE 141 IV 360 E. 3.2; 140 IV 57 E. 4.1.2; Urteile 1B_455/2022 vom 17. Mai 2023 E. 4.3; 1B_418/2021 vom 2. Juni 2022 E. 3.2; 1B_76/2020 vom 6. Juli 2020 E. 4.1; je mit Hinweisen).</w:t>
      </w:r>
    </w:p>
    <w:p>
      <w:r>
        <w:rPr>
          <w:b/>
        </w:rPr>
        <w:t>E. 2.3</w:t>
      </w:r>
    </w:p>
    <w:p>
      <w:r>
        <w:t>Die Vorinstanz erwägt im Wesentlichen, ausgehend von den sich auf die Akten stützenden Darlegungen der Bundesanwaltschaft sei der hinreichende Tatverdacht gegen B.A.________ auf Betrug zulasten von D.________ zu bejahen. Die pauschalen Bestreitungen der Beschwerdeführerin würden daran nichts ändern. Ebenso leuchte der von der Bundesanwaltschaft dargelegte Zusammenhang zwischen den zu Zwecken der Einziehung bzw. Ersatzforderung sowie Kostendeckung gesperrten Vermögenswerten und der untersuchten Straftat ohne Weiteres ein. Soweit die Beschwerdeführerin die Vermischung der mutmasslich inkriminierten, auf ihr C.________-Konto überwiesenen Fr. 20'000.-- mit dem übrigen Kontovermögen bestreite, liege sie falsch. Die inhaltliche Richtigkeit der Beschwerdebeilagen sowie deren Gegendarstellung sei Gegenstand der laufenden Ermittlungen, weshalb die Beschwerdeführerin daraus nichts Abschliessendes für das vorliegende Beschwerdeverfahren ableiten könne. Dasselbe gelte auch, soweit die Beschwerdeführerin den Verdacht der Bundesanwaltschaft bestreite, wonach die gesperrten Vermögenswerte ihrem Ehemann B.A.________ zuzurechnen seien. Nach den unbestritten gebliebenen Ausführungen der Bundesanwaltschaft hätten die Saldi der beiden gesperrten Konten der Beschwerdeführerin am 15. März 2023 gesamthaft Fr. 65'788.09, d.h. Fr. 11'822.29 und 26'816 Aktien E.________ AG im Wert von Fr. 53'830.--, zuzüglich einer Liquidität von Fr. 135.80, betragen. Da die Beträge auf den gesperrten Konten der Beschwerdeführerin kleiner seien, als die mutmasslich zweckentfremdeten Vermögenswerte von D.________, seien die Kontosperren auch unter diesem Gesichtspunkt als verhältnismässig zu beurteilen. Die Beschwerdeführerin habe zwar erklärt, die Sperrung ihrer Vermögenswerte sei unangebracht und unverhältnismässig, weil am 22. März 2022 Vermögenwerte der F.________ im Gesamtwert von Fr. 110'000.-- bei der Bank G.________ gesperrt worden seien. Unterlagen, welche ihre Darstellung stützen würden, habe die Beschwerdeführerin aber nicht eingereicht, weshalb auf ihre Argumentation bereits aus diesem Grund nicht weiter einzugehen sei. Entgegen der Beschwerdeführerin bestehe zudem kein Grund zur Annahme, sie sei gutgläubig (im Sinne von Art. 70 Abs. 2 StGB ) gewesen und habe keine Ahnung - weder von der angespannten finanziellen Situation ihres Ehemannes noch von seinem strafrechtlichen Vorleben, den damit verbundenen Verurteilungen und seinen aktuellen Aktivitäten - gehabt.</w:t>
      </w:r>
    </w:p>
    <w:p>
      <w:r>
        <w:rPr>
          <w:b/>
        </w:rPr>
        <w:t>E. 2.4</w:t>
      </w:r>
    </w:p>
    <w:p>
      <w:r>
        <w:t>Die Beschwerdeführerin kommt ihrer Begründungspflicht nicht hinreichend nach. Was den Tatverdacht gegen ihren Ehemann B.A.________ auf Betrug sowie den Zusammenhang zwischen den auf ihren Konten gesperrten Vermögenswerten und der untersuchten Straftat betrifft, wiederholt die Beschwerdeführerin über weite Strecken bereits früher vorgebrachte und beurteilte Argumente. Eine eingehende Auseinandersetzung mit den vorinstanzlichen Feststellungen, die sich auf die Darlegungen der Bundesanwaltschaft stützen, fehlt. Auf die insoweit rein appellatorische Kritik der Beschwerdeführerin ist nicht weiter einzugehen. Im Übrigen hat sich die Vorinstanz mit den Rügen der Beschwerdeführerin ausführlich auseinandergesetzt; deren Behauptung, die Vorinstanz habe ihren Gehörsanspruch verletzt, ist unbegründet. Inwiefern die verfügte Beschlagnahme der Vermögenswerte sonstwie Bundesrecht verletzen sollte, legt die Beschwerdeführerin in ihrer weitschweifigen Beschwerde nicht (rechtsgenüglich) dar und ist auch nicht erkennbar.</w:t>
      </w:r>
    </w:p>
    <w:p>
      <w:r>
        <w:rPr>
          <w:b/>
        </w:rPr>
        <w:t>E. 3</w:t>
      </w:r>
    </w:p>
    <w:p>
      <w:r>
        <w:t>Die Beschwerde ist abzuweisen, soweit überhaupt darauf einzutreten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