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7B_428/2024 vom 6. November 2024</w:t>
      </w:r>
    </w:p>
    <w:p>
      <w:r>
        <w:t>Bundesgericht, 2024-11-06, DE</w:t>
      </w:r>
    </w:p>
    <w:p>
      <w:r>
        <w:rPr>
          <w:b/>
        </w:rPr>
        <w:t xml:space="preserve">Quelle: </w:t>
      </w:r>
      <w:r>
        <w:t>https://mcp.opencaselaw.ch/entscheid/bger_7B_428_2024</w:t>
      </w:r>
    </w:p>
    <w:p>
      <w:r>
        <w:t>FR: TF 7B_428/2024 du 6 novembre 2024</w:t>
      </w:r>
    </w:p>
    <w:p>
      <w:r>
        <w:t>IT: TF 7B_428/2024 del 6 novembre 2024</w:t>
      </w:r>
    </w:p>
    <w:p>
      <w:pPr>
        <w:pStyle w:val="Heading2"/>
      </w:pPr>
      <w:r>
        <w:t>Erwägungen</w:t>
      </w:r>
    </w:p>
    <w:p>
      <w:r>
        <w:rPr>
          <w:b/>
        </w:rPr>
        <w:t>E. 1.1</w:t>
      </w:r>
    </w:p>
    <w:p>
      <w:r>
        <w:t>Angefochten ist ein nach Art. 248a Abs. 1 lit. a StPO in Verbindung mit Art. 248a Abs. 3 StPO kantonal letztinstanzlicher Entscheid eines Zwangsmassnahmengerichts. Dagegen steht gemäss Art. 80 Abs. 2 Satz 3 BGG die Beschwerde in Strafsachen an das Bundesgericht nach Art. 78 ff. BGG grundsätzlich offen.</w:t>
      </w:r>
    </w:p>
    <w:p>
      <w:r>
        <w:rPr>
          <w:b/>
        </w:rPr>
        <w:t>E. 1.2.1</w:t>
      </w:r>
    </w:p>
    <w:p>
      <w:r>
        <w:t>Der angefochtene Entsiegelungsentscheid schliesst das gegen die Beschwerdeführerin laufende Strafverfahren nicht ab und betrifft weder die Zuständigkeit noch ein Ausstandsbegehren im Sinne von Art. 92 BGG . Die Gutheissung der vorliegenden Beschwerde würde auch nicht sofort einen Endentscheid im Sinne von Art. 93 Abs. 1 lit. b BGG herbeiführen. Der angefochtene Zwischenentscheid ist demnach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w:t>
      </w:r>
    </w:p>
    <w:p>
      <w:r>
        <w:rPr>
          <w:b/>
        </w:rPr>
        <w:t>E. 1.2.2</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beispielsweise ein fehlender hinreichender Tatverdacht geltend gemacht, fehlt es grundsätzlich am nicht wieder gutzumachenden Nachteil (Urteile 7B_132/2024 vom 19. August 2024 E. 1.2; 7B_292/2023 vom 31. August 2023 E. 2.1; 7B_127/2023 vom 14. August 2023 E. 2.2; je mit weiteren Hinweisen). Woraus sich der nicht wieder gutzumachende Nachteil ergeben soll, ist in der Beschwerdeschrift darzulegen, sofern dies nicht offensichtlich ist ( BGE 141 IV 284 E. 2.3; 289 E. 1.3; je mit Hinweisen).</w:t>
      </w:r>
    </w:p>
    <w:p>
      <w:r>
        <w:rPr>
          <w:b/>
        </w:rPr>
        <w:t>E. 1.3</w:t>
      </w:r>
    </w:p>
    <w:p>
      <w:r>
        <w:t>Die anwaltlich vertretene Beschwerdeführerin führt nicht aus, weshalb ihr durch den angefochtenen Entscheid ein nicht wieder gutzumachender Nachteil im Sinne von Art. 93 Abs. 1 lit. a BGG droht. Namentlich macht sie nicht geltend, dass der Entsiegelung gesetzlich geschützte Geheimnisrechte entgegenstehen. Stattdessen bestreitet sie im Wesentlichen einzig das Vorliegen eines hinreichenden Tatverdachts. Damit macht sie lediglich andere Beschlagnahmehindernisse geltend, was nach der vorgenannten Rechtsprechung bei Beschwerden gegen kantonale Entsiegelungsentscheide keinen nicht wieder gutzumachenden Nachteil gemäss Art. 93 Abs. 1 lit. a BGG darstellt.</w:t>
      </w:r>
    </w:p>
    <w:p>
      <w:r>
        <w:rPr>
          <w:b/>
        </w:rPr>
        <w:t>E. 2</w:t>
      </w:r>
    </w:p>
    <w:p>
      <w:r>
        <w:t>Auf die Beschwerde ist nicht einzutreten.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