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41/2023 vom 16. April 2024</w:t>
      </w:r>
    </w:p>
    <w:p>
      <w:r>
        <w:t>Bundesgericht, 2024-04-16, DE</w:t>
      </w:r>
    </w:p>
    <w:p>
      <w:r>
        <w:rPr>
          <w:b/>
        </w:rPr>
        <w:t xml:space="preserve">Quelle: </w:t>
      </w:r>
      <w:r>
        <w:t>https://mcp.opencaselaw.ch/entscheid/bger_7B_41_2023</w:t>
      </w:r>
    </w:p>
    <w:p>
      <w:r>
        <w:t>FR: TF 7B 41/2023 du 16 avril 2024</w:t>
      </w:r>
    </w:p>
    <w:p>
      <w:r>
        <w:t>IT: TF 7B 41/2023 del 16 aprile 2024</w:t>
      </w:r>
    </w:p>
    <w:p>
      <w:pPr>
        <w:pStyle w:val="Heading2"/>
      </w:pPr>
      <w:r>
        <w:t>Regeste</w:t>
      </w:r>
    </w:p>
    <w:p>
      <w:r>
        <w:t>Anordnung von Untersuchungshaft | Strafprozess</w:t>
      </w:r>
    </w:p>
    <w:p>
      <w:pPr>
        <w:pStyle w:val="Heading2"/>
      </w:pPr>
      <w:r>
        <w:t>Erwägungen</w:t>
      </w:r>
    </w:p>
    <w:p>
      <w:r>
        <w:rPr>
          <w:b/>
        </w:rPr>
        <w:t>E. 1.1</w:t>
      </w:r>
    </w:p>
    <w:p>
      <w:r>
        <w:t>Angefochten ist ein kantonal letztinstanzlicher Beschwerdeentscheid über die Anordnung von Untersuchungshaft. Dagegen steht die Beschwerde in Strafsachen gemäss Art. 78 ff. BGG offen.</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insbesondere die beschuldigte Person (Art. 81 Abs. 1 lit. a und lit. b Ziff. 1 BGG). Der Beschwerdeführer nahm vor der Vorinstanz am Verfahren teil, indes wurde er am 25. April 2023 - noch vor Einreichung seiner Beschwerde vom 22. Mai 2023 - aus der Haft entlassen. Damit besteht kein aktuelles Rechtsschutzinteresse an der Beschwerde, soweit der Beschwerdeführer darin geltend macht, die Vorinstanz hätte in ihrem Entscheid sein Haftentlassungsgesuch vom 17. April 2023 berücksichtigen müssen, und ebenso wenig, soweit er die Feststellung "der am 18.3.2023 fehlenden materiellen Voraussetzung für die Haftanordnung" und "der Verletzung von Verfahrensvorschriften im Verfahren vor dem Zwangsmassnahmengericht" beantragt und verlangt, dass ihm hierfür eine Haftentschädigung auszurichten sei. Über solche Begehren ist im gesetzlich vorgesehenen separaten Haftentschädigungsverfahren zu befinden (vgl. Art. 431 StPO ; BGE 140 I 246 E. 2.5.1; Urteile 7B_843/2023 vom 20. November 2023 E. 1.2, zur Publikation vorgesehen; 7B_928/2023 vom 15. Dezember 2023 E. 1.2; 1B_111/2020 vom 31. März 2020 E. 1, nicht publ. in: BGE 146 I 115 , mit Hinweisen). Im Übrigen ist auch nicht ersichtlich, inwiefern vorliegend aus Gründen des Gebots des fairen Verfahrens ( Art. 29 Abs. 1 BV ) und der Prozessökonomie auf das Erfordernis des aktuellen Rechtsschutzinteresses verzichtet werden könnte (vgl. zum Ganzen: BGE 137 I 296 E. 4 ; 136 I 274 E. 1.3; Urteile 7B_373/2023 vom 7. Februar 2024 E. 1.1; 7B_887/2023 vom 24. November 2023 E. 1.3; 6B_1155/2021 vom 30. Januar 2023 E. 2.3.3; je mit Hinweisen). Eine Verletzung der EMRK macht der anwaltlich vertretene Beschwerdeführer jedenfalls nicht in hinreichend substanziierter Weise geltend. Sein Hinweis, das Haftverfahren habe nach seiner Ansicht u.a. gegen " Art. 5 und Art. 6 EMRK " verstossen, genügt nicht.</w:t>
      </w:r>
    </w:p>
    <w:p>
      <w:r>
        <w:rPr>
          <w:b/>
        </w:rPr>
        <w:t>E. 2</w:t>
      </w:r>
    </w:p>
    <w:p>
      <w:r>
        <w:t>Eingetreten werden kann auf die Beschwerde, soweit der Beschwerdeführer den angefochtenen Entscheid im Kostenpunkt beanstandet. Er macht geltend, die Vorinstanz habe die Honorarnote seines amtlichen Verteidigers vom 19. April 2023 nicht berücksichtigt, was seinen Gehörsanspruch verletze. Diese Rüge ist unbegründet: Wie der Beschwerdeführer selber bemerkt, datiert der angefochtene Entscheid vom 18. April 2023. Mithin konnte die Vorinstanz die Honorarnote gar nicht berücksichtigen. Dass der angefochtene Entscheid erst am Abend des 20. April 2023 der Post übergeben worden sein soll, ändert daran nichts.</w:t>
      </w:r>
    </w:p>
    <w:p>
      <w:r>
        <w:rPr>
          <w:b/>
        </w:rPr>
        <w:t>E. 3</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 Art. 64 Abs. 1 BGG e contrario).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