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417/2024 vom 28. Mai 2024</w:t>
      </w:r>
    </w:p>
    <w:p>
      <w:r>
        <w:t>Bundesgericht, 2024-05-28, DE</w:t>
      </w:r>
    </w:p>
    <w:p>
      <w:r>
        <w:rPr>
          <w:b/>
        </w:rPr>
        <w:t xml:space="preserve">Quelle: </w:t>
      </w:r>
      <w:r>
        <w:t>https://mcp.opencaselaw.ch/entscheid/bger_7B_417_2024</w:t>
      </w:r>
    </w:p>
    <w:p>
      <w:r>
        <w:t>FR: TF 7B 417/2024 du 28 mai 2024</w:t>
      </w:r>
    </w:p>
    <w:p>
      <w:r>
        <w:t>IT: TF 7B 417/2024 del 28 maggio 2024</w:t>
      </w:r>
    </w:p>
    <w:p>
      <w:pPr>
        <w:pStyle w:val="Heading2"/>
      </w:pPr>
      <w:r>
        <w:t>Regeste</w:t>
      </w:r>
    </w:p>
    <w:p>
      <w:r>
        <w:t>Ersatzfreiheitsstrafe (Kostenvorschuss); Nichteintreten | Straf- und Massnahmenvollzug</w:t>
      </w:r>
    </w:p>
    <w:p>
      <w:pPr>
        <w:pStyle w:val="Heading2"/>
      </w:pPr>
      <w:r>
        <w:t>Erwägungen</w:t>
      </w:r>
    </w:p>
    <w:p>
      <w:r>
        <w:rPr>
          <w:b/>
        </w:rPr>
        <w:t>E. 1</w:t>
      </w:r>
    </w:p>
    <w:p>
      <w:r>
        <w:t>Der Beschwerdeführer erhob am 8. April 2024 Beschwerde in Strafsachen gegen das Urteil des Kantonsgerichts Luzern vom 4. März 2024.</w:t>
      </w:r>
    </w:p>
    <w:p>
      <w:r>
        <w:rPr>
          <w:b/>
        </w:rPr>
        <w:t>E. 2</w:t>
      </w:r>
    </w:p>
    <w:p>
      <w:r>
        <w:t>Die Partei, die das Bundesgericht anruft, hat einen Kostenvorschuss zu bezahlen ( Art. 62 Abs. 1 BGG ).</w:t>
      </w:r>
    </w:p>
    <w:p>
      <w:r>
        <w:rPr>
          <w:b/>
        </w:rPr>
        <w:t>E. 3</w:t>
      </w:r>
    </w:p>
    <w:p>
      <w:r>
        <w:t>Dem Beschwerdeführer wurde am 10. April 2024 Frist angesetzt, um dem Bundesgericht bis zum 25. April 2024 einen Kostenvorschuss von Fr. 800.-- zu leisten. Der Beschwerdeführer teilte dem Bundesgericht mit Schreiben vom 23. April 2024 (Überschrift: "Die bei mir eingegangene, rechtsverweigernde, landesverratende Raubgeldforderung für die Bearbeitung der auch den Bundesgerichts-Angestellten angezeigten schweren Offizialdelikte gegen Land und Bevölkerung der Schweiz") mit, er werde den Kostenvorschuss (der als "Raubgeldforderung" und "Erpresstes Raub-Geld" bezeichnet wird) nicht leisten. Mit Verfügung vom 7. Mai 2024 wurde dem Beschwerdeführer alsdann die gesetzlich vorgeschriebene und nicht erstreckbare Nachfrist zur Leistung des Kostenvorschusses bis zum 21. Mai 2024 angesetzt und darauf hingewiesen, dass im Unterlassungsfall auf das Rechtsmittel nicht eingetreten werde. Am 21. Mai 2024 gelangte der Beschwerdeführer mit einem weiteren Schreiben (Überschrift: "Eure abermalige rechtsbrechende, bundesverfassungswidrige, menschenrechts-vergewaltigende, landesverratende Raubgeldforderung für die Bearbeitung der auch euch Bundesgerichts-Angestellten angezeigten schweren Offizialdelikte gegen Land und Bevölkerung der Schweiz durch die Corona-Terroraktionen") ans Bundesgericht und teilte dem Bundesgericht (bzw. den "zuständigen Kriminellen am Bundesgericht") erneut sinngemäss mit, er werde den Kostenvorschuss nicht leisten.</w:t>
      </w:r>
    </w:p>
    <w:p>
      <w:r>
        <w:rPr>
          <w:b/>
        </w:rPr>
        <w:t>E. 4</w:t>
      </w:r>
    </w:p>
    <w:p>
      <w:r>
        <w:t>Der Kostenvorschuss ging innert der angesetzten Nachfrist nicht ein, weshalb auf die Beschwerde androhungsgemäss gestützt auf Art. 62 Abs. 3 BGG im Verfahren nach Art. 108 BGG nicht einzutreten ist.</w:t>
      </w:r>
    </w:p>
    <w:p>
      <w:r>
        <w:rPr>
          <w:b/>
        </w:rPr>
        <w:t>E. 5</w:t>
      </w:r>
    </w:p>
    <w:p>
      <w:r>
        <w:t>Das Bundesgericht ist weder für die Entgegennahme und Behandlung von (allfälligen) Strafanzeigen zuständig noch zu deren Weiterleitung verpflichtet.</w:t>
      </w:r>
    </w:p>
    <w:p>
      <w:r>
        <w:rPr>
          <w:b/>
        </w:rPr>
        <w:t>E. 6</w:t>
      </w:r>
    </w:p>
    <w:p>
      <w:r>
        <w:t>Abschliessend ist der Beschwerdeführer darauf hinzuweisen, dass er für den Anstand verletzende Äusserungen mit einem Verweis oder einer Ordnungsbusse bis zu Fr. 1'000.-- bestraft werden kann ( Art. 33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