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7B_416/2024 vom 2. Juli 2024</w:t>
      </w:r>
    </w:p>
    <w:p>
      <w:r>
        <w:t>Bundesgericht, 2024-07-02, FR</w:t>
      </w:r>
    </w:p>
    <w:p>
      <w:r>
        <w:rPr>
          <w:b/>
        </w:rPr>
        <w:t xml:space="preserve">Quelle: </w:t>
      </w:r>
      <w:r>
        <w:t>https://mcp.opencaselaw.ch/entscheid/bger_7B_416_2024</w:t>
      </w:r>
    </w:p>
    <w:p>
      <w:r>
        <w:t>FR: TF 7B_416/2024 du 2 juillet 2024</w:t>
      </w:r>
    </w:p>
    <w:p>
      <w:r>
        <w:t>IT: TF 7B_416/2024 del 2 luglio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 6B_1148/2021 du 23 juin 2023 consid. 1.7 et les arrêts cités).</w:t>
      </w:r>
    </w:p>
    <w:p>
      <w:r>
        <w:rPr>
          <w:b/>
        </w:rPr>
        <w:t>E. 1.2</w:t>
      </w:r>
    </w:p>
    <w:p>
      <w:r>
        <w:t>En l'espèce, le recourant ne dit mot, dans son recours, au sujet d'éventuelles prétentions civiles envers la personne contre laquelle il a déposé plainte pénale. Dans l'arrêt attaqué, l'autorité précédente a d'ailleurs retenu qu'il n'avait aucunement chiffré ses prétentions civiles, lesquelles englobaient par ailleurs des prétentions relatives à d'autres faits que ceux constitutifs, selon lui, des infractions dénoncées. Le recourant, qui ne se confronte pas avec cette appréciation, ne livre aucune explication sur les raisons qui l'empêcheraient, plus de deux ans après les faits dénoncés, de motiver plus avant ses éventuelles prétentions civiles, respectivement de les chiffrer. Le défaut de motivation sur la question des prétentions civiles exclut dès lors sa qualité pour recourir sur le fond de la cause.</w:t>
      </w:r>
    </w:p>
    <w:p>
      <w:r>
        <w:rPr>
          <w:b/>
        </w:rPr>
        <w:t>E. 1.3</w:t>
      </w:r>
    </w:p>
    <w:p>
      <w:r>
        <w:t>L'hypothèse visée à l'art. 81 al. 1 let. b ch. 6 LTF n'entre pas en considération, étant donné que le recourant ne soulève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En l'espèce, le recourant ne présente pas de grief qui puisse être séparé du fond, de sorte qu'il ne dispose pas non plus de la qualité pour recourir sous cet angle.</w:t>
      </w:r>
    </w:p>
    <w:p>
      <w:r>
        <w:rPr>
          <w:b/>
        </w:rPr>
        <w:t>E. 1.5</w:t>
      </w:r>
    </w:p>
    <w:p>
      <w:r>
        <w:t>Pour le reste, les critiques que soulève le recourant en invoquant les art. 158, 181 et 292 CP ont trait au fond de la cause, qu'il n'a pas qualité pour discuter (cf. consid. 1.2</w:t>
      </w:r>
    </w:p>
    <w:p>
      <w:r>
        <w:t>supra ). Elles sont par conséquent irrecevables.</w:t>
      </w:r>
    </w:p>
    <w:p>
      <w:r>
        <w:rPr>
          <w:b/>
        </w:rPr>
        <w:t>E. 2</w:t>
      </w:r>
    </w:p>
    <w:p>
      <w:r>
        <w:t>L'irrecevabilité manifeste du recours doit dès lors être constatée dans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