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414/2024 vom 28. Mai 2024</w:t>
      </w:r>
    </w:p>
    <w:p>
      <w:r>
        <w:t>Bundesgericht, 2024-05-28, DE</w:t>
      </w:r>
    </w:p>
    <w:p>
      <w:r>
        <w:rPr>
          <w:b/>
        </w:rPr>
        <w:t xml:space="preserve">Quelle: </w:t>
      </w:r>
      <w:r>
        <w:t>https://mcp.opencaselaw.ch/entscheid/bger_7B_414_2024</w:t>
      </w:r>
    </w:p>
    <w:p>
      <w:r>
        <w:t>FR: TF 7B 414/2024 du 28 mai 2024</w:t>
      </w:r>
    </w:p>
    <w:p>
      <w:r>
        <w:t>IT: TF 7B 414/2024 del 28 maggio 2024</w:t>
      </w:r>
    </w:p>
    <w:p>
      <w:pPr>
        <w:pStyle w:val="Heading2"/>
      </w:pPr>
      <w:r>
        <w:t>Regeste</w:t>
      </w:r>
    </w:p>
    <w:p>
      <w:r>
        <w:t>Nichtanhandnahme; Nichteintreten | Strafprozess</w:t>
      </w:r>
    </w:p>
    <w:p>
      <w:pPr>
        <w:pStyle w:val="Heading2"/>
      </w:pPr>
      <w:r>
        <w:t>Erwägungen</w:t>
      </w:r>
    </w:p>
    <w:p>
      <w:r>
        <w:rPr>
          <w:b/>
        </w:rPr>
        <w:t>E. 1</w:t>
      </w:r>
    </w:p>
    <w:p>
      <w:r>
        <w:t>Die Staatsanwaltschaft Zürich-Sihl nahm am 9. Februar 2024 ein Strafverfahren gegen unbekannte Personen wegen angeblicher Beschädigung von Turnschuhen im Strafvollzug nicht an Hand. Auf die dagegen vom Beschwerdeführer erhobene Beschwerde trat das Obergericht des Kantons Zürich mit Verfügung vom 22. März 2024 nicht ein. Der Beschwerdeführer beantragt mit Beschwerde in Strafsachen vom 24. März 2024 (eingegangen gemeinsam mit dem Begleitschreiben vom 4. April 2024 am 8. April 2024) sinngemäss, diese Verfügung sei aufzuheben und ein Strafverfahren durchzuführen.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Urteile 7B_182/2024 vom 26. März 2024 E. 2.1.2; 7B_18/2024 vom 14. März 2024 E. 2; je mit Hinweisen).</w:t>
      </w:r>
    </w:p>
    <w:p>
      <w:r>
        <w:rPr>
          <w:b/>
        </w:rPr>
        <w:t>E. 3</w:t>
      </w:r>
    </w:p>
    <w:p>
      <w:r>
        <w:t>Die Beschwerde setzt sich nicht materiell mit der angefochtenen Verfügung auseinander. Die Begründung erschöpft sich - soweit dieser überhaupt gefolgt werden kann - in appellatorischer Kritik und im Ausdruck von grundsätzlichem Missmut, u.a. gegen die "Kantonalbeamten". Der Eingabe des Beschwerdeführers lässt sich nicht ansatzweise entnehmen, dass und inwiefern die Vorinstanz mit der angefochtenen Verfügung gegen das geltende Recht im Sinne von Art. 95 BGG verstossen haben soll. Ferner fehlt eine hinreichende Begründung, weshalb dem Beschwerdeführer ein Zivilanspruch zustehen und er als Privatkläger im Sinne von Art. 81 Abs. 1 lit. b Ziff. 5 BGG zur Beschwerde berechtigt sein soll. Die Beschwerde vermag damit den Begründungsanforderungen offensichtlich nicht zu genügen.</w:t>
      </w:r>
    </w:p>
    <w:p>
      <w:r>
        <w:rPr>
          <w:b/>
        </w:rPr>
        <w:t>E. 4</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5</w:t>
      </w:r>
    </w:p>
    <w:p>
      <w:r>
        <w:t>Auf das vom Beschwerdeführer nachträglich am 20. April 2024 gestellte Ausstandsgesuch gegen Bundesrichterin Koch ist ebenfalls nicht einzutreten. Das Gesuch begründet der Beschwerdeführer damit, dass er "zuletzt" bei der Bundesanwaltschaft eine Strafanzeige gegen das genannte Mitglied der II. strafrechtlichen Abteilung wegen Amtsmissbrauchs eingereicht habe. Auf Nachfrage, was Gegenstand dieser Strafanzeige sei, und die Aufforderung, dienliche Belege beizubringen, reichte der Beschwerdeführer am 15. Mai 2024 eine Nichtanhandnahmeverfügung der Staatsanwaltschaft Zürich-Limmat vom 22. April 2024 (Referenz D-22024/10014605), ein Schreiben von ihm an das Bezirksgericht Zürich vom 24. März 2024 sowie ein Schreiben von ihm an die Bundesanwaltschaft vom 1. Mai 2024 ein, welche in keinem erkennbaren Zusammenhang mit dem Ausstandsgesuch bzw. mit Bundesrichterin Koch stehen. Im Übrigen stellte die blosse Tatsache, dass der Beschwerdeführer in einem anderen bundesgerichtlichen Beschwerdeverfahren erfolglos geblieben war, an welchem Bundesrichterin Koch mitgewirkt hat, für sich allein keinen zulässigen Ausstandsgrund dar ( Art. 34 Abs. 2 BGG ). Bei unzulässigen Ausstandsgesuchen ist praxisgemäss kein Verfahren nach Art. 37 BGG durchzuführen.</w:t>
      </w:r>
    </w:p>
    <w:p>
      <w:r>
        <w:rPr>
          <w:b/>
        </w:rPr>
        <w:t>E. 6</w:t>
      </w:r>
    </w:p>
    <w:p>
      <w:r>
        <w:t>Auf die Beschwerde ist im Verfahren nach Art. 108 BGG nicht einzutreten. Die Gerichtskosten sind dem Beschwerdeführer aufzuerlegen ( Art. 66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