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412/2024 vom 15. August 2024</w:t>
      </w:r>
    </w:p>
    <w:p>
      <w:r>
        <w:t>Bundesgericht, 2024-08-15, FR</w:t>
      </w:r>
    </w:p>
    <w:p>
      <w:r>
        <w:rPr>
          <w:b/>
        </w:rPr>
        <w:t xml:space="preserve">Quelle: </w:t>
      </w:r>
      <w:r>
        <w:t>https://mcp.opencaselaw.ch/entscheid/bger_7B_412_2024</w:t>
      </w:r>
    </w:p>
    <w:p>
      <w:r>
        <w:t>FR: TF 7B 412/2024 du 15 août 2024</w:t>
      </w:r>
    </w:p>
    <w:p>
      <w:r>
        <w:t>IT: TF 7B 412/2024 del 15 agosto 2024</w:t>
      </w:r>
    </w:p>
    <w:p>
      <w:pPr>
        <w:pStyle w:val="Heading2"/>
      </w:pPr>
      <w:r>
        <w:t>Regeste</w:t>
      </w:r>
    </w:p>
    <w:p>
      <w:r>
        <w:t>Qualité pour agir; récusation (recours manifestement irrecevable)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Ainsi, lorsque la décision attaquée est une décision d'irrecevabilité, les motifs développés dans le mémoire de recours doivent porter sur la question de la recevabilité traitée par l'autorité précédente, à l'exclusion du fond du litige ( ATF 123 V 335 consid. 1b; arrêt 7B_9/2023 du 22 novembre 2023 consid. 3.1). Le Tribunal fédéral ne connaît de la violation des droits fondamentaux que si ce moyen est invoqué et motivé par le recourant ( art. 106 al. 2 LTF ), c'est-à-dire s'il a été expressément soulevé et exposé de manière claire et détaillée ( ATF 143 IV 500 consid. 1.1). De plus,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Les critiques de nature appellatoire sont irrecevables ( ATF 147 IV 73 consid. 4.1.2; 146 IV 114 consid. 2.1; 145 IV 154 consid. 1.1).</w:t>
      </w:r>
    </w:p>
    <w:p>
      <w:r>
        <w:rPr>
          <w:b/>
        </w:rPr>
        <w:t>E. 1.2.1</w:t>
      </w:r>
    </w:p>
    <w:p>
      <w:r>
        <w:t>En l'espèce, il ressort de l'arrêt attaqué qu'en application de l' art. 385 al. 2 CPP , le Président de la Chambre pénale avait invité le recourant à lui faire parvenir un acte de recours corrigé et expurgé de tous propos inconvenants ou outranciers, à défaut de quoi son acte ne serait pas pris en considération. À cela, le recourant avait répondu en rappelant qu'il avait déposé une plainte pénale contre le Président de la Chambre pénale, persistant par ailleurs dans ses allégations outrancières à l'égard notamment de Fabien Gasser et d'autres magistrats fribourgeois. Dans ce contexte, la cour cantonale a estimé qu'à défaut pour le recourant d'avoir présenté un mémoire satisfaisant aux exigences de forme et de motivation (cf. art. 385 al. 1 CPP ), le recours devait être déclaré irrecevable (cf. arrêt attaqué, consid. 4 p. 5 s.).</w:t>
      </w:r>
    </w:p>
    <w:p>
      <w:r>
        <w:rPr>
          <w:b/>
        </w:rPr>
        <w:t>E. 1.2.2</w:t>
      </w:r>
    </w:p>
    <w:p>
      <w:r>
        <w:t>Dans son recours en matière pénale, le recourant revient essentiellement sur les raisons qui justifieraient selon lui que les magistrats du canton de Fribourg fussent poursuivis et condamnés en raison notamment d'entraves à l'action pénale et de leur participation à des organisations criminelles. Ce faisant, le recourant ne démontre toutefois pas en quoi il devrait être considéré que les écritures adressées à la cour cantonale dans le cadre de son recours répondaient aux réquisits de l' art. 385 al. 1 CPP , ni en quoi la cour cantonale aurait violé le droit fédéral en estimant que tel n'était pas le cas et partant que son recours devait être déclaré irrecevable. Le recourant ne saurait en tout état se prévaloir du fait que ses actes seraient compréhensibles et "factuels", attendu que c'est bien en raison du caractère inconvenant et outrancier des propos tenus que son recours a été déclaré irrecevable (cf. en particulier les passages mis en exergue dans l'arrêt attaqué, consid. 4 p. 5 s.).</w:t>
      </w:r>
    </w:p>
    <w:p>
      <w:r>
        <w:rPr>
          <w:b/>
        </w:rPr>
        <w:t>E. 1.3</w:t>
      </w:r>
    </w:p>
    <w:p>
      <w:r>
        <w:t>Dans la mesure où le recourant soutient par ailleurs que l'arrêt attaqué serait entaché de nullité en tant qu'il y est opéré le constat de son incapacité d'ester en justice en lien avec les infractions dénoncées, il ne présente toutefois pas de motivation propre à démontrer que l'arrêt attaqué contreviendrait à l' art. 106 al. 1 CPP , appliqué par la cour cantonale et aux termes duquel une partie ne peut valablement accomplir des actes de procédure que si elle a l'exercice des droits civils. Il ne démontre pas non plus, à tout le moins d'une manière conforme aux réquisits de l' art. 106 al. 2 LTF , en quoi ce constat serait constitutif d'une violation de ses droits fondamentaux.</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 art. 64 al. 1 LTF ). Le recourant, qui succombe, supportera donc les frais judiciaires ( art. 66 al. 1 LTF ). Ceux-ci seront toutefois fixés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