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40/2023 vom 19. Juli 2023</w:t>
      </w:r>
    </w:p>
    <w:p>
      <w:r>
        <w:t>Bundesgericht, 2023-07-19, DE</w:t>
      </w:r>
    </w:p>
    <w:p>
      <w:r>
        <w:rPr>
          <w:b/>
        </w:rPr>
        <w:t xml:space="preserve">Quelle: </w:t>
      </w:r>
      <w:r>
        <w:t>https://mcp.opencaselaw.ch/entscheid/bger_7B_40_2023</w:t>
      </w:r>
    </w:p>
    <w:p>
      <w:r>
        <w:t>FR: TF 7B 40/2023 du 19 juillet 2023</w:t>
      </w:r>
    </w:p>
    <w:p>
      <w:r>
        <w:t>IT: TF 7B 40/2023 del 19 luglio 2023</w:t>
      </w:r>
    </w:p>
    <w:p>
      <w:pPr>
        <w:pStyle w:val="Heading2"/>
      </w:pPr>
      <w:r>
        <w:t>Regeste</w:t>
      </w:r>
    </w:p>
    <w:p>
      <w:r>
        <w:t>Strafverfahren; Nichtanhandnahme | Strafprozess</w:t>
      </w:r>
    </w:p>
    <w:p>
      <w:pPr>
        <w:pStyle w:val="Heading2"/>
      </w:pPr>
      <w:r>
        <w:t>Erwägungen</w:t>
      </w:r>
    </w:p>
    <w:p>
      <w:r>
        <w:rPr>
          <w:b/>
        </w:rPr>
        <w:t>E. 1</w:t>
      </w:r>
    </w:p>
    <w:p>
      <w:r>
        <w:t>Die angefochtene Verfügung des Obergerichts schliesst das Beschwerdeverfahren vor dem Obergericht und mithin auch das Strafverfahren nicht ab und betrifft weder die Zuständigkeit noch ein Ausstandsbegehren im Sinne von Art. 92 BGG . Demnach ist sie gemäss Art. 93 Abs. 1 lit. a BGG nur dann unmittelbar mit Beschwerde an das Bundesgericht anfechtbar, wenn sie einen nicht wieder gutzumachenden Nachteil bewirken kann. Beim drohenden nicht wieder gutzumachenden Nachteil im Sinne dieser Bestimmung muss es sich um einen solchen rechtlicher Natur handeln. Ein lediglich tatsächlicher Nachteil wie die Verteuerung oder Verlängerung des Verfahrens genügt nicht. Nicht wieder gutzumachend bedeutet, dass der Nachteil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141 IV 284 E. 2.3, 289 E. 1.3, je mit Hinweisen). Nach der Rechtsprechung des Bundesgerichts muss der Beschwerdeführer, der einen Entscheid bezüglich eines Kostenvorschusses oder einer Sicherheit für die Parteientschädigung anficht, die im Gesetz vorgesehen sind, und der sich darauf beruft, der Zugang zum Gericht sei ihm verwehrt, in der Beschwerdebegründung aufzeigen, dass ihm dieser Nachteil tatsächlich droht, da er finanziell nicht in der Lage ist, den Kostenvorschuss oder die Sicherheiten zu leisten ( BGE 142 III 798 E. 2 mit Hinweisen). Der Beschwerdeführer macht nicht geltend, dass er nicht in der Lage wäre, den Kostenvorschuss zu leisten, und dies ist auch nicht ersichtlich, hat er doch offenbar im Verfahren vor dem Obergericht kein Gesuch um unentgeltliche Rechtspflege gestellt. Demnach sind die Voraussetzungen für eine selbständige Anrufung des Bundesgerichts nach Art. 93 Abs. 1 lit. a BGG nicht gegeben. Allfällige Kritik an den Kostenfolgen des kantonalen Beschwerdeverfahrens kann der Beschwerdeführer durch Beschwerde gegen den Endentscheid vorbringen, gegebenenfalls unter Mitanfechtung der Verfügung vom 29. März 2023 (siehe zu den Voraussetzungen Art. 93 Abs. 3 BGG ).</w:t>
      </w:r>
    </w:p>
    <w:p>
      <w:r>
        <w:rPr>
          <w:b/>
        </w:rPr>
        <w:t>E. 2</w:t>
      </w:r>
    </w:p>
    <w:p>
      <w:r>
        <w:t>Auf die Beschwerde ist nicht einzutreten. Es rechtfertigt sich ausnahmsweise, auf die Erhebung von Gerichtskosten zu verzichten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