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7B_407/2024 vom 26. Juli 2024</w:t>
      </w:r>
    </w:p>
    <w:p>
      <w:r>
        <w:t>Bundesgericht, 2024-07-26, DE</w:t>
      </w:r>
    </w:p>
    <w:p>
      <w:r>
        <w:rPr>
          <w:b/>
        </w:rPr>
        <w:t xml:space="preserve">Quelle: </w:t>
      </w:r>
      <w:r>
        <w:t>https://mcp.opencaselaw.ch/entscheid/bger_7B_407_2024</w:t>
      </w:r>
    </w:p>
    <w:p>
      <w:r>
        <w:t>FR: TF 7B_407/2024 du 26 juillet 2024</w:t>
      </w:r>
    </w:p>
    <w:p>
      <w:r>
        <w:t>IT: TF 7B_407/2024 del 26 luglio 2024</w:t>
      </w:r>
    </w:p>
    <w:p>
      <w:pPr>
        <w:pStyle w:val="Heading2"/>
      </w:pPr>
      <w:r>
        <w:t>Erwägungen</w:t>
      </w:r>
    </w:p>
    <w:p>
      <w:r>
        <w:rPr>
          <w:b/>
        </w:rPr>
        <w:t>E. 1.1</w:t>
      </w:r>
    </w:p>
    <w:p>
      <w:r>
        <w:t>Das Bundesgericht prüft von Amtes wegen und mit freier Kognition, ob auf die Beschwerde eingetreten werden kann ( Art. 29 Abs. 1 und Art. 106 Abs. 1 BGG ; BGE 148 IV 275 E. 1.1 ; 148 I 160 E. 1; je mit Hinweis). Die Sachurteilsvoraussetzungen sind in der Beschwerdeschrift ausreichend zu substanziieren, soweit sie nicht offensichtlich erfüllt erscheinen ( Art. 42 Abs. 1 und 2 BGG ; vgl. BGE 148 IV 155 E. 1.1; 141 IV 289 E. 1.3; je mit Hinweisen).</w:t>
      </w:r>
    </w:p>
    <w:p>
      <w:r>
        <w:rPr>
          <w:b/>
        </w:rPr>
        <w:t>E. 1.2</w:t>
      </w:r>
    </w:p>
    <w:p>
      <w:r>
        <w:t>Angefochten ist ein letztinstanzlicher kantonaler Entsiegelungsentscheid eines Zwangsmassnahmengerichts, gegen den die Beschwerde in Strafsachen an das Bundesgericht grundsätzlich offensteht ( Art. 80 Abs. 2 Satz 3 BGG i.V.m. Art. 248a Abs. 5 StPO ).</w:t>
      </w:r>
    </w:p>
    <w:p>
      <w:r>
        <w:rPr>
          <w:b/>
        </w:rPr>
        <w:t>E. 1.3</w:t>
      </w:r>
    </w:p>
    <w:p>
      <w:r>
        <w:t>Der angefochtene Entscheid schliesst das gegen den Beschwerdeführer laufende Strafverfahren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der Nachteil auch mit einem für die beschwerdeführende Person günstigen Endentscheid nicht oder nicht vollständig behoben werden kann ( BGE 148 IV 155 E. 1.1; 144 IV 321 E. 2.3; je mit Hinweisen). 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(Urteil 7B_111/2022 vom 11. März 2024 E. 2.3; vgl. BGE 143 IV 462 E. 1). Pauschale Hinweise auf angebliche Privatgeheimnisse genügen nach ständiger Praxis des Bundesgerichtes nicht zur Substanziierung von konkreten schutzwürdigen Geheimnisinteressen (Urteil 7B_875/2023 vom 14. Juni 2024 E. 1.2 mit Hinweisen).</w:t>
      </w:r>
    </w:p>
    <w:p>
      <w:r>
        <w:t>Der anwaltlich vertretene Beschwerdeführer äussert sich in seiner Beschwerdeschrift nicht zur - hier nicht offensichtlich erfüllten - Sachurteilsvoraussetzung des nicht wieder gutzumachenden Nachteils im Sinne von Art. 93 Abs. 1 lit. a BGG . In der Begründung seiner Beschwerde erwähnt er zwar angebliche "Privatgeheimnisse", substanziiert diese aber nicht weiter. Damit kommt er seiner Begründungsobliegenheit nicht nach (vgl. Art. 42 Abs. 2 BGG ). Es fehlt an den Voraussetzungen für eine selbständige Anfechtung des Vor- bzw. Zwischenentscheids beim Bundesgericht.</w:t>
      </w:r>
    </w:p>
    <w:p>
      <w:r>
        <w:rPr>
          <w:b/>
        </w:rPr>
        <w:t>E. 2</w:t>
      </w:r>
    </w:p>
    <w:p>
      <w:r>
        <w:t>Auf die Beschwerde ist nicht einzutreten.</w:t>
      </w:r>
    </w:p>
    <w:p>
      <w:r>
        <w:t>Die Gerichtskosten sind dem Beschwerdeführer aufzuerlegen ( Art. 66 Abs. 1 BGG ). Dessen Gesuch um unentgeltliche Rechtspflege ist wegen offensichtlicher Aussichtslosigkeit der Beschwerde abzuweisen ( Art. 64 Abs. 1 BGG ). Seinen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