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7B_405/2025 vom 15. Juli 2025</w:t>
      </w:r>
    </w:p>
    <w:p>
      <w:r>
        <w:t>Bundesgericht, 2025-07-15, DE</w:t>
      </w:r>
    </w:p>
    <w:p>
      <w:r>
        <w:rPr>
          <w:b/>
        </w:rPr>
        <w:t xml:space="preserve">Quelle: </w:t>
      </w:r>
      <w:r>
        <w:t>https://mcp.opencaselaw.ch/entscheid/bger_7B_405_2025</w:t>
      </w:r>
    </w:p>
    <w:p>
      <w:r>
        <w:t>FR: TF 7B_405/2025 du 15 juillet 2025</w:t>
      </w:r>
    </w:p>
    <w:p>
      <w:r>
        <w:t>IT: TF 7B_405/2025 del 15 luglio 2025</w:t>
      </w:r>
    </w:p>
    <w:p>
      <w:pPr>
        <w:pStyle w:val="Heading2"/>
      </w:pPr>
      <w:r>
        <w:t>Erwägungen</w:t>
      </w:r>
    </w:p>
    <w:p>
      <w:r>
        <w:rPr>
          <w:b/>
        </w:rPr>
        <w:t>E. 1</w:t>
      </w:r>
    </w:p>
    <w:p>
      <w:r>
        <w:t>Mit Verfügung vom 1. April 2025 trat das Obergericht des Kantons Zürich nicht auf eine vom Beschwerdeführer eingereichte Beschwerde ein. Dagegen gelangte der Beschwerdeführer mit Beschwerde in Strafsachen vom 7. Mai 2025 (persönliche Übergabe) an das Bundesgericht.</w:t>
      </w:r>
    </w:p>
    <w:p>
      <w:r>
        <w:rPr>
          <w:b/>
        </w:rPr>
        <w:t>E. 2</w:t>
      </w:r>
    </w:p>
    <w:p>
      <w:r>
        <w:t>Diese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(Urteile 7B_1201/2024 vom 22. Januar 2025 E. 1.2; 7B_182/2024 vom 26. März 2024 E. 2.1.2; 7B_18/2024 vom 14. März 2024 E. 2; je mit Hinweisen). Formelle Rügen, zu deren Geltendmachung der Beschwerdeführer unbesehen der fehlenden Legitimation in der Sache befugt wäre, da sie namentlich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In Anbetracht der Umstände ist ausnahmsweise auf die Erhebung von Gerichtskosten zu verzichten (Art. 66 Abs. 1 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