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7B_405/2023 vom 22. Dezember 2023</w:t>
      </w:r>
    </w:p>
    <w:p>
      <w:r>
        <w:t>Bundesgericht, 2023-12-22, FR</w:t>
      </w:r>
    </w:p>
    <w:p>
      <w:r>
        <w:rPr>
          <w:b/>
        </w:rPr>
        <w:t xml:space="preserve">Quelle: </w:t>
      </w:r>
      <w:r>
        <w:t>https://mcp.opencaselaw.ch/entscheid/bger_7B_405_2023</w:t>
      </w:r>
    </w:p>
    <w:p>
      <w:r>
        <w:t>FR: TF 7B_405/2023 du 22 décembre 2023</w:t>
      </w:r>
    </w:p>
    <w:p>
      <w:r>
        <w:t>IT: TF 7B_405/2023 del 22 dicembre 2023</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Face à la motivation cantonale sur le défaut de versement des sûretés (cf. arrêt attaqué, p. 2), la recourante se borne à invoquer des arguments de fond et à dénoncer, en tant qu'étudiante étrangère, un "racisme structurel" qui affecterait l'ordre judiciaire fribourgeois. Elle échoue ainsi à mettre en évidence, par une motivation conforme aux exigences en la matière, en quoi l'autorité précédente aurait violé le droit (soit en particulier l' art. 383 CPP ) en déclarant son recours irrecevable.</w:t>
      </w:r>
    </w:p>
    <w:p>
      <w:r>
        <w:rPr>
          <w:b/>
        </w:rPr>
        <w:t>E. 1.3</w:t>
      </w:r>
    </w:p>
    <w:p>
      <w:r>
        <w:t>En tant que la recourante formule au surplus des griefs ou des conclusions contre des "décisions calomnieuses et racistes" qui auraient été prises la concernant, ses développements, sans rapport avec l'objet du litige, sont également manifestement irrecevables.</w:t>
      </w:r>
    </w:p>
    <w:p>
      <w:r>
        <w:rPr>
          <w:b/>
        </w:rPr>
        <w:t>E. 1.4</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2</w:t>
      </w:r>
    </w:p>
    <w:p>
      <w:r>
        <w:t>Il sera exceptionnellement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