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404/2023 vom 24. November 2023</w:t>
      </w:r>
    </w:p>
    <w:p>
      <w:r>
        <w:t>Bundesgericht, 2023-11-24, FR</w:t>
      </w:r>
    </w:p>
    <w:p>
      <w:r>
        <w:rPr>
          <w:b/>
        </w:rPr>
        <w:t xml:space="preserve">Quelle: </w:t>
      </w:r>
      <w:r>
        <w:t>https://mcp.opencaselaw.ch/entscheid/bger_7B_404_2023</w:t>
      </w:r>
    </w:p>
    <w:p>
      <w:r>
        <w:t>FR: TF 7B 404/2023 du 24 novembre 2023</w:t>
      </w:r>
    </w:p>
    <w:p>
      <w:r>
        <w:t>IT: TF 7B 404/2023 del 24 novembre 2023</w:t>
      </w:r>
    </w:p>
    <w:p>
      <w:pPr>
        <w:pStyle w:val="Heading2"/>
      </w:pPr>
      <w:r>
        <w:t>Regeste</w:t>
      </w:r>
    </w:p>
    <w:p>
      <w:r>
        <w:t>Ordonnance de non-entrée en matière | Procédure pénale</w:t>
      </w:r>
    </w:p>
    <w:p>
      <w:pPr>
        <w:pStyle w:val="Heading2"/>
      </w:pPr>
      <w:r>
        <w:t>Erwägungen</w:t>
      </w:r>
    </w:p>
    <w:p>
      <w:r>
        <w:rPr>
          <w:b/>
        </w:rPr>
        <w:t>E. 1.1</w:t>
      </w:r>
    </w:p>
    <w:p>
      <w:r>
        <w:t>Par courrier électronique du 17 octobre 2023, B.________ a annoncé au Tribunal fédéral le décès de son époux A.________, recourant, survenu le 17 septembre 2023. En référence à la plainte que le recourant avait dirigée contre les administrateurs de C.________ Sàrl, ayant fait l'objet de la procédure cantonale, B.________ y a expliqué souhaiter "continuer le combat, pour [le recourant], mais aussi pour [s]es enfants".</w:t>
      </w:r>
    </w:p>
    <w:p>
      <w:r>
        <w:rPr>
          <w:b/>
        </w:rPr>
        <w:t>E. 1.2</w:t>
      </w:r>
    </w:p>
    <w:p>
      <w:r>
        <w:t>Cela étant relevé, au vu des motifs qui suivent (cf. consid. 2 à 4 infra ), il n'y a pas matière à examiner si le décès du recourant a été valablement établi par l'envoi du courrier électronique non sécurisé évoqué ci-avant, ni encore, le cas échéant au regard de l' art. 6 PCF (applicable par renvoi de l' art. 71 LTF ), si la cause doit être rayée du rôle ou si elle peut valablement être reprise par l'épouse du recourant.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2.2</w:t>
      </w:r>
    </w:p>
    <w:p>
      <w:r>
        <w:t>En l'espèce, le recourant se limite, dans ses actes de recours, à faire part de son intention de former un recours contre l'arrêt du 28 juillet 2023. Ce faisant, il s'abstient, de manière contraire à l' art. 42 al. 1 LTF , de toute indication quant aux prétentions civiles qu'il entend déduire des infractions dénoncées dans sa plainte du 4 février 2023.</w:t>
      </w:r>
    </w:p>
    <w:p>
      <w:r>
        <w:rPr>
          <w:b/>
        </w:rPr>
        <w:t>E. 3</w:t>
      </w:r>
    </w:p>
    <w:p>
      <w:r>
        <w:t>Le recourant ne soulève par ailleurs aucun grief quant à son droit de porter plainte au sens de l'art. 81 al. 1 let. b ch. 6 LTF, ni n'invoque une violation de ses droits de partie équivalant à un déni de justice formel (cf. ATF 141 IV 1 consid. 1.1).</w:t>
      </w:r>
    </w:p>
    <w:p>
      <w:r>
        <w:rPr>
          <w:b/>
        </w:rPr>
        <w:t>E. 4</w:t>
      </w:r>
    </w:p>
    <w:p>
      <w:r>
        <w:t>On observera au demeurant que l'épouse du recourant n'a pas requis - ni par son courrier électronique du 17 octobre 2023, ni par une autre écriture - de restitution du délai de recours (cf. art. 50 al. 1 LTF ) au motif que, par hypothèse en raison de son état de santé, le recourant aurait été empêché de procéder valablement avant l'échéance du délai, laquelle, compte tenu des féries judiciaires, est survenue le 14 septembre 2023 (cf. art. 100 al. 1 LTF en lien avec art. 46 al. 1 let. b LTF ), soit trois jours avant la date supposée du décès.</w:t>
      </w:r>
    </w:p>
    <w:p>
      <w:r>
        <w:rPr>
          <w:b/>
        </w:rPr>
        <w:t>E. 5</w:t>
      </w:r>
    </w:p>
    <w:p>
      <w:r>
        <w:t>L'irrecevabilité manifeste du recours doit dès lors être constatée dans la procédure prévue par l' art. 108 al. 1 let. a LTF . A titre exceptionnel, il ne sera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