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402/2023 vom 22. August 2023</w:t>
      </w:r>
    </w:p>
    <w:p>
      <w:r>
        <w:t>Bundesgericht, 2023-08-22, FR</w:t>
      </w:r>
    </w:p>
    <w:p>
      <w:r>
        <w:rPr>
          <w:b/>
        </w:rPr>
        <w:t xml:space="preserve">Quelle: </w:t>
      </w:r>
      <w:r>
        <w:t>https://mcp.opencaselaw.ch/entscheid/bger_7B_402_2023</w:t>
      </w:r>
    </w:p>
    <w:p>
      <w:r>
        <w:t>FR: TF 7B 402/2023 du 22 août 2023</w:t>
      </w:r>
    </w:p>
    <w:p>
      <w:r>
        <w:t>IT: TF 7B 402/2023 del 22 agosto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Le prononcé attaqué - rendu par une autorité statuant en dernière instance cantonale (cf. art. 80 LTF ) - ne met pas un terme à la procédure pénale; en tant que décision incidente, elle est cependant susceptible de causer au recourant, prévenu détenu, un préjudice irréparable au sens de l' art. 93 al. 1 let. a LTF (arrêts 7B_159/2023 du 13 juillet 2023 consid. 1; 1B_229/2023 du 16 mai 2023 consid. 1.1). L'arrêt entrepris confirme la prolongation de la détention provisoire ordonnée à son encontre et, dès lors, le recourant a un intérêt juridiquement protégé à obtenir son annulation ou sa modification (cf. art. 81 al. 1 let. a et b LTF ). Partant, sous réserve des considérations suivantes, il y a lieu d'entrer en matière.</w:t>
      </w:r>
    </w:p>
    <w:p>
      <w:r>
        <w:rPr>
          <w:b/>
        </w:rPr>
        <w:t>E. 2</w:t>
      </w:r>
    </w:p>
    <w:p>
      <w:r>
        <w:t>Aucun fait nouveau ni preuve nouvelle ne peut être présenté à moins de résulter de la décision de l'autorité précédente ( art. 99 al. 1 LTF ). Il n'y a dès lors pas lieu de prendre en compte les faits ultérieurs à l'arrêt attaqué mentionnés notamment dans les observations du Ministère public du 11 août 2023 (cf. en particulier le nouveau défaut de comparution de B.________ et l'exécution anticipée de la peine accordée le 5 juillet 2023; voir également let. B p. 3 s. des observations du 18 août 2023 du recourant).</w:t>
      </w:r>
    </w:p>
    <w:p>
      <w:r>
        <w:rPr>
          <w:b/>
        </w:rPr>
        <w:t>E. 3.1</w:t>
      </w:r>
    </w:p>
    <w:p>
      <w:r>
        <w:t>S'agissant tout d'abord de l'existence de charges suffisantes au sens de l' art. 221 al. 1 CPP , la cour cantonale a considéré que le recourant ne les remettait pas en cause, sous réserve des faits en lien avec d'éventuelles maltraitances commises au préjudice de son fils; si certains cambriolages étaient contestés, le recourant admettait toutefois une grande partie d'entre eux (cf. consid. 2 p. 8 s. de l'arrêt attaqué).</w:t>
      </w:r>
    </w:p>
    <w:p>
      <w:r>
        <w:rPr>
          <w:b/>
        </w:rPr>
        <w:t>E. 3.2</w:t>
      </w:r>
    </w:p>
    <w:p>
      <w:r>
        <w:t>Cette appréciation peut être confirmée et le recourant ne développe d'ailleurs aucune argumentation conforme à ses obligations en matière de motivation propre à le remettre en cause (cf. art. 42 al. 2 LTF ). En particulier, il ne prétend pas que les reproches en lien avec les nombreux cambriolages perpétrés ne seraient pas suffisants pour considérer que cette condition est réalisée. Vu le pouvoir d'examen du juge de la détention avant jugement ( ATF 143 IV 330 consid. 2.1; 143 IV 316 consid. 3.1 et 3.2; arrêt 1B_285/2023 du 15 juin 2023 consid. 3.3), le seul fait que le recourant puisse, sur le fond, ne pas admettre certaines des infractions qui lui sont reprochées ne suffit en particulier pas pour considérer que les charges se seraient amoindries ou auraient été abandonnées. Au jour de l'arrêt attaqué, tel n'était d'ailleurs pas le cas de l'instruction des faits en lien avec son fils ou de ceux dénoncés par B.________.</w:t>
      </w:r>
    </w:p>
    <w:p>
      <w:r>
        <w:rPr>
          <w:b/>
        </w:rPr>
        <w:t>E. 4.1</w:t>
      </w:r>
    </w:p>
    <w:p>
      <w:r>
        <w:t>En ce qui concerne ensuite le risque de réitération (cf. art. 221 al. 1 let . c CPP; sur cette notion, ATF 146 IV 326 consid. 3.1; 146 IV 136 consid. 2), l'autorité précédente a relevé que le recourant n'en contestait pas l'existence et qu'il n'existait aucune mesure de substitution propre à le réduire : malgré plusieurs arrestations suivies de libération moyennant le prononcé de mesure de substitution - dont l'obligation de se soumettre à un traitement en lien avec son addiction aux stupéfiants, à des tests réguliers de l'abstinence et à un suivi par le SPI -, le recourant avait persisté à commettre, à de nombreuses reprises, de nouveaux cambriolages du même type; ces mesures - que le recourant proposait à nouveau - s'étaient donc révélées insuffisantes. Selon la cour cantonale, une hospitalisation à C.________ ou dans une clinique spécialisée - même couplée à une interdiction de quitter ces lieux ou de sortie - n'était pas non plus suffisante vu l'acuité du risque en cause (cf. consid. 3 p. 9 de l'arrêt attaqué).</w:t>
      </w:r>
    </w:p>
    <w:p>
      <w:r>
        <w:rPr>
          <w:b/>
        </w:rPr>
        <w:t>E. 4.2</w:t>
      </w:r>
    </w:p>
    <w:p>
      <w:r>
        <w:t>Dans son acte de recours au Tribunal fédéral, le recourant ne développe aucune argumentation visant à remettre en cause l'existence d'un risque de récidive. Il en va de même dans ses déterminations du 18 août 2023, puisqu'il se limite, pour la première fois devant le Tribunal fédéral, à relever l'éventuelle absence d'actes violents lors des cambriolages perpétrés, à exclure un danger de réitération en lien avec des infractions à l'intégrité sexuelle dénoncées par B.________ et à soutenir qu'il ne consommerait plus de stupéfiants (cf. let. B p. 5 de cette écriture). Toutefois, il n'apporte aucun élément permettant de confirmer cette dernière affirmation et omet de prendre en compte l'importance du nombre de cas qui sont examinés à son encontre, respectivement de ceux qui ont été commis alors même que des mesures de substitution avaient été ordonnées. Dans la mesure où cette brève argumentation serait conforme aux exigences en matière de motivation et aurait été soulevée en temps utile, elle peut en tout état de cause être écartée.</w:t>
      </w:r>
    </w:p>
    <w:p>
      <w:r>
        <w:rPr>
          <w:b/>
        </w:rPr>
        <w:t>E. 4.3</w:t>
      </w:r>
    </w:p>
    <w:p>
      <w:r>
        <w:t>Si le recourant prend certes une conclusion visant sa libération a priori en lien avec le prononcé de mesures de substitution (cf. ch. 7 de ses conclusions p. 2 du recours), il ne développe ensuite aucune argumentation sur cette problématique. Ce faisant, il ne démontre pas en quoi l'appréciation retenue par la cour cantonale pour écarter les mesures proposées serait contraire au droit (cf. art. 42 al. 2 LTF ; ATF 142 III 364 consid. 2.4; arrêt 6B_1413/2022 du 1er février 2023 consid. 3). Partant, son recours sur cette question se révèle irrecevable, faute de motivation.</w:t>
      </w:r>
    </w:p>
    <w:p>
      <w:r>
        <w:rPr>
          <w:b/>
        </w:rPr>
        <w:t>E. 5.1</w:t>
      </w:r>
    </w:p>
    <w:p>
      <w:r>
        <w:t>Invoquant notamment un établissement arbitraire des faits, le recourant reproche en substance à l'autorité précédente d'avoir considéré que la durée de la prolongation de sa détention provisoire - trois mois - ne violerait pas le principe de la proportionnalité, alors que, dans son ordonnance du 21 mars 2023, le Tmc avait prolongé cette mesure uniquement pour deux mois.</w:t>
      </w:r>
    </w:p>
    <w:p>
      <w:r>
        <w:rPr>
          <w:b/>
        </w:rPr>
        <w:t>E. 5.2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Quant au principe de la proportionnalité, il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avant jugement dépasse la durée probable de la peine privative de liberté à laquelle il faut s'attendre (cf. art. 212 al. 3 CPP ).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1B_134/2023 du 5 avril 2023 consid. 5.1; 1B_99/2023 du 7 mars 2023 consid. 5.1).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arrêt 1B_134/2023 du 5 avril 2023 consid. 5.1 et les arrêts cités).</w:t>
      </w:r>
    </w:p>
    <w:p>
      <w:r>
        <w:rPr>
          <w:b/>
        </w:rPr>
        <w:t>E. 5.3</w:t>
      </w:r>
    </w:p>
    <w:p>
      <w:r>
        <w:t>La Chambre pénale de recours a tout d'abord estimé qu'aucun retard injustifié ne pouvait être reproché au Ministère public, l'instruction suivant son cours à un rythme raisonnable compte tenu de la multiplicité des faits reprochés au recourant; ce dernier concédait en outre que le Ministère public avait fait diligence pour convoquer les témoins requis - dont l'un certes par requête d'avril 2023 - en juin. Selon l'autorité précédente, le Ministère public avait en outre fait immédiatement le nécessaire pour convoquer B.________ à une nouvelle audience et donner suite à la demande du recourant relative à l'extraction ainsi qu'à l'analyse des données contenues dans son téléphone cellulaire (cf. le mandat d'enquête du 19 juin 2023). La cour cantonale a dès lors retenu que le principe de la célérité n'avait pas été violé (cf. consid. 4.2 p. 10 de l'arrêt attaqué). S'agissant ensuite de la durée de la prolongation de la détention provisoire ordonnée (trois mois), la Chambre pénale de recours a considéré que celle-ci - au jour où elle statuait (28 juin 2023) et à la date d'échéance de la prolongation décidée (24 août 2023) - n'atteignait pas la durée de la peine concrètement encourue; alors même que les audiences annoncées par le Ministère public avaient pu être convoquées en juin, cette durée n'apparaissait pas non plus disproportionnée, compte tenu des actes d'instruction qui restaient à accomplir et du prochain renvoi du recourant en jugement (cf. consid. 5.2 p. 10 de l'arrêt attaqué).</w:t>
      </w:r>
    </w:p>
    <w:p>
      <w:r>
        <w:rPr>
          <w:b/>
        </w:rPr>
        <w:t>E. 5.4</w:t>
      </w:r>
    </w:p>
    <w:p>
      <w:r>
        <w:t>Ce raisonnement ne prête pas le flanc à la critique. A la lecture du recours, on comprend que le recourant ne prétend pas avoir soutenu devant la cour cantonale que la durée de l'instruction telle que menée par le Ministère public violerait le principe de la célérité. Il ne saurait donc être reproché à l'autorité précédente d'avoir considéré que les griefs du recourant en lien avec le déroulement de l'instruction étaient "inconsistant[s]" (et non "inconstant" comme l'écrit le recourant, cf. notamment p. 8 s. du recours et let. A des observations du 18 août 2023). Pour le surplus, cette problématique n'est pas remise en cause sur le fond devant le Tribunal fédéral. En revanche, le recourant critique en substance la durée de la prolongation accordée (trois mois) en raison de celle retenue dans une décision précédente du Tmc (deux mois). Selon le recourant, rien ne justifierait une autre appréciation puisqu'en particulier les auditions requises avaient pu être organisées en juin. Le recourant omet tout d'abord de prendre en compte qu'en date du 1er juin 2023 - soit ultérieurement à l'ordonnance du 21 mars 2023 du Tmc dont il se prévaut -, il a fait l'objet d'une mise en prévention complémentaire pour de nombreux autres faits. Comme déjà relevé ci-dessus (cf. consid. 3.2), le Ministère public n'avait en outre pas, au jour de l'arrêt attaqué, envisagé d'abandonner l'instruction menée à l'encontre du recourant en lien avec les faits relatifs à son fils ou avec ceux dénoncés par B.________. Cela suffit en l'état pour ne pas exclure d'emblée tout acte supplémentaire d'enquête - de la part du Ministère public ou éventuellement sur demande (s) des parties à la suite, par exemple, d'un avis de prochaine clôture -, en sus d'ailleurs de ceux déjà ordonnés le 19 juin 2023 (cf. consid. 5.2 p. 10 renvoyant à la let. F p. 8 de l'arrêt attaqué). Le recourant ne saurait donc en l'espèce se référer aux circonstances qui prévalaient peut-être antérieurement pour contester l'appréciation émise par la cour cantonale au moment où elle a statué. Il ne développe enfin aucune argumentation susceptible de démontrer que la détention avant jugement subie serait supérieure à la peine concrètement encourue, notamment en raison des nombreux cambriolages qui lui sont reprochés.</w:t>
      </w:r>
    </w:p>
    <w:p>
      <w:r>
        <w:rPr>
          <w:b/>
        </w:rPr>
        <w:t>E. 6</w:t>
      </w:r>
    </w:p>
    <w:p>
      <w:r>
        <w:t>Enfin, il n'y a pas lieu d'entrer en matière sur la conclusion visant à une réduction des frais de la procédure cantonale de recours (cf. ch. 12 de ses conclusions p. 3 du recours). Vu le large pouvoir d'appréciation dont dispose l'autorité cantonale en matière de frais de justice et la retenue avec laquelle le Tribunal fédéral examine en conséquence cette problématique ( ATF 146 IV 196 consid. 2.2.1), on ne saurait en effet considérer que les exigences en matière de motivation seraient réalisées par rapport à ce grief (cf. consid. 4.3 ci-dessus). Au regard des éléments dérobés (soit principalement des boissons alcoolisées), soutenir - au demeurant a priori pour la première fois devant le Tribunal fédéral - que le recourant aurait été "réduit à voler de la nourriture dans des caves pour subvenir aux besoins de son fils" (cf. let. A p. 2 des observations du 18 août 2023) frise la témérité. En tout état de cause, le montant retenu en application de l' art. 13 al. 2 let . c RTFMP, soit 900 fr. pour les émoluments, se situe manifestement dans la tranche inférieure du cadre légal prévoyant un émolument de 100 à 20'000 fr. (cf. arrêt 1B_134/2023 du 5 avril 2023 consid. 6).</w:t>
      </w:r>
    </w:p>
    <w:p>
      <w:r>
        <w:rPr>
          <w:b/>
        </w:rPr>
        <w:t>E. 7</w:t>
      </w:r>
    </w:p>
    <w:p>
      <w:r>
        <w:t>Il s'ensuit que le recours doit être rejeté dans la mesure où il est recevable. Le recourant a demandé l'octroi de l'assistance judiciaire (cf. art. 64 al. 1 LTF ). Son recours - notamment en raison du défaut de motivation de certains griefs - était cependant d'emblée dénué de chances de succès et cette requête doit être rejetée. Le recourant, qui succombe, supportera donc les frais judiciaires (art. 65 al. 2 et 66 al. 1 LTF); vu sa situation financière, ceux-ci seront exceptionnellement réduits.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