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7B_401/2026 vom 27. Mai 2026</w:t>
      </w:r>
    </w:p>
    <w:p>
      <w:r>
        <w:t>Bundesgericht, 2026-05-27, FR</w:t>
      </w:r>
    </w:p>
    <w:p>
      <w:r>
        <w:rPr>
          <w:b/>
        </w:rPr>
        <w:t xml:space="preserve">Quelle: </w:t>
      </w:r>
      <w:r>
        <w:t>https://mcp.opencaselaw.ch/entscheid/bger_7B_401_2026</w:t>
      </w:r>
    </w:p>
    <w:p>
      <w:r>
        <w:t>FR: TF 7B_401/2026 du 27 mai 2026</w:t>
      </w:r>
    </w:p>
    <w:p>
      <w:r>
        <w:t>IT: TF 7B_401/2026 del 27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20 mai 2026 (timbre postal), soit dans le délai imparti pour verser l'avance de frais de la procédure 7B_401/2026 ouverte ensuite du recours qu'il a interjeté le 26 mars 2026 (timbre postal) contre l'arrêt de la Chambre pénale du Tribunal cantonal de l'État de Fribourg du 26 février 2026, A.________ déclare retirer son recours ("Par la présente, je me permets de vous informer que, par manque de moyens, [j]e renonce au recours 7B_401/2026").</w:t>
      </w:r>
    </w:p>
    <w:p>
      <w:r>
        <w:t>Il y a lieu d'en prendre acte et de rayer la cause du rôle ( art. 32 al. 2 LTF ).</w:t>
      </w:r>
    </w:p>
    <w:p>
      <w:r>
        <w:rPr>
          <w:b/>
        </w:rPr>
        <w:t>E. 2</w:t>
      </w:r>
    </w:p>
    <w:p>
      <w:r>
        <w:t>Le recourant, considéré comme la partie succombante,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