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3/2024 vom 2. April 2024</w:t>
      </w:r>
    </w:p>
    <w:p>
      <w:r>
        <w:t>Bundesgericht, 2024-04-02, DE</w:t>
      </w:r>
    </w:p>
    <w:p>
      <w:r>
        <w:rPr>
          <w:b/>
        </w:rPr>
        <w:t xml:space="preserve">Quelle: </w:t>
      </w:r>
      <w:r>
        <w:t>https://mcp.opencaselaw.ch/entscheid/bger_7B_3_2024</w:t>
      </w:r>
    </w:p>
    <w:p>
      <w:r>
        <w:t>FR: TF 7B 3/2024 du 2 avril 2024</w:t>
      </w:r>
    </w:p>
    <w:p>
      <w:r>
        <w:t>IT: TF 7B 3/2024 del 2 aprile 2024</w:t>
      </w:r>
    </w:p>
    <w:p>
      <w:pPr>
        <w:pStyle w:val="Heading2"/>
      </w:pPr>
      <w:r>
        <w:t>Regeste</w:t>
      </w:r>
    </w:p>
    <w:p>
      <w:r>
        <w:t>Ausstand; Nichteintreten | Zuständigkeitsfragen, Garantie des Wohnsitzrichters und des v...</w:t>
      </w:r>
    </w:p>
    <w:p>
      <w:pPr>
        <w:pStyle w:val="Heading2"/>
      </w:pPr>
      <w:r>
        <w:t>Erwägungen</w:t>
      </w:r>
    </w:p>
    <w:p>
      <w:r>
        <w:rPr>
          <w:b/>
        </w:rPr>
        <w:t>E. 1</w:t>
      </w:r>
    </w:p>
    <w:p>
      <w:r>
        <w:t>Mit Strafbefehl vom 2. März 2023 bestrafte das Stadtrichteramt Zürich A.________ wegen fahrlässigen Missachtens eines Lichtsignals mit einer Busse von Fr. 300.-- und auferlegte ihm Kosten und Gebühren in der Höhe von Fr. 330.--. Gegen diesen Strafbefehl erhob A.________ Einsprache. Das Stadtrichteramt hielt am Strafbefehl fest und überwies die Akten am 27. Juni 2023 an das Bezirksgericht Zürich zur Durchführung des Hauptverfahrens. Mit Verfügung vom 17. Juli 2023 lud das Bezirksgericht A.________ zur Hauptverhandlung am 28. August 2023 vor. Am 25. August 2023 stellte A.________ ein Ausstandsgesuch gegen die zuständige Einzelrichterin, woraufhin die Hauptverhandlung abgesagt wurde. Die Einzelrichterin überwies das Ausstandsgesuch an das Obergericht des Kantons Zürich, welches das Gesuch mit Beschluss vom 17. November 2023 abwies. Mit Eingabe vom 27. Dezember 2023 führt A.________ Beschwerde in Strafsachen an das Bundesgericht und beantragt die Aufhebung des Beschlusses vom 17. November 2023.</w:t>
      </w:r>
    </w:p>
    <w:p>
      <w:r>
        <w:rPr>
          <w:b/>
        </w:rPr>
        <w:t>E. 2.1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2.2</w:t>
      </w:r>
    </w:p>
    <w:p>
      <w:r>
        <w:t>Der Beschwerdeführer setzt sich in seiner Beschwerde nicht ansatzweise mit dem angefochtenen Beschluss und der nachvollziehbaren vorinstanzlichen Begründung auseinander. Stattdessen beschränkt er sich auf rein appellatorische Kritik. Er legt einzig seine Sicht der Dinge dar, ohne nachvollziehbar aufzuzeigen, inwiefern die Vorinstanz mit dem angefochtenen Beschluss tatsächlich gegen das geltende Recht im Sinne von Art. 95 BGG verstossen haben soll, indem sie das Ausstandsgesuch abgewiesen hat. Der Begründungsmangel ( Art. 42 Abs. 2 BGG ) ist offensichtlich, weshalb auf die Beschwerde im Verfahren nach Art. 108 BGG nicht einzutreten ist.</w:t>
      </w:r>
    </w:p>
    <w:p>
      <w:r>
        <w:rPr>
          <w:b/>
        </w:rPr>
        <w:t>E. 3</w:t>
      </w:r>
    </w:p>
    <w:p>
      <w:r>
        <w:t>Bei diesem Verfahrensausgang sind die Gerichtskosten dem Beschwerdeführer aufzuerlegen ( Art. 66 Abs. 1 BGG ). Sein Gesuch um unentgeltliche Rechtspflege ist wegen Aussichtslosigkeit abzuweisen ( Art. 64 Abs. 1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