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7B_399/2023 vom 2. Oktober 2023</w:t>
      </w:r>
    </w:p>
    <w:p>
      <w:r>
        <w:t>Bundesgericht, 2023-10-02, DE</w:t>
      </w:r>
    </w:p>
    <w:p>
      <w:r>
        <w:rPr>
          <w:b/>
        </w:rPr>
        <w:t xml:space="preserve">Quelle: </w:t>
      </w:r>
      <w:r>
        <w:t>https://mcp.opencaselaw.ch/entscheid/bger_7B_399_2023</w:t>
      </w:r>
    </w:p>
    <w:p>
      <w:r>
        <w:t>FR: TF 7B_399/2023 du 2 octobre 2023</w:t>
      </w:r>
    </w:p>
    <w:p>
      <w:r>
        <w:t>IT: TF 7B_399/2023 del 2 ottobre 2023</w:t>
      </w:r>
    </w:p>
    <w:p>
      <w:pPr>
        <w:pStyle w:val="Heading2"/>
      </w:pPr>
      <w:r>
        <w:t>Erwägungen</w:t>
      </w:r>
    </w:p>
    <w:p>
      <w:r>
        <w:rPr>
          <w:b/>
        </w:rPr>
        <w:t>E. 1</w:t>
      </w:r>
    </w:p>
    <w:p>
      <w:r>
        <w:t>Der Beschwerdeführer erstattete am 14. März und 25. April 2022 Anzeige gegen B.________ wegen Beschimpfung und übler Nachrede. Am 20. Juli 2022 folgte eine weitere Anzeige gegen B.________, diesmal wegen falscher Anschuldigung und Irreführung der Rechtspflege. Die Staatsanwaltschaft verfügte am 9. September 2022 die Nichtanhandnahme des Strafverfahrens. Eine dagegen erhobene Beschwerde wies das Obergericht des Kantons Zürich mit Beschluss vom 26. Juni 2023 ab, soweit es auf sie eintrat.</w:t>
      </w:r>
    </w:p>
    <w:p>
      <w:r>
        <w:t>Mit Eingabe vom 30. Juli 2023 gelangt der Beschwerdeführer ans Bundesgericht und beantragt im Wesentlichen, das Verfahren sei an die Vorinstanz zurückzuweisen und es sei eine formelle Strafuntersuchung gegen den Beschuldigten einzuleiten. Der Beschwerdeführer ersucht um unentgeltliche Rechtspflege.</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Der Beschwerdeführer äussert sich nicht zu seinem Beschwerderecht. Gestützt woraus ihm ein Zivilanspruch zustehen soll, auf den sich der angefochtene Entscheid auswirken könnte, ist aufgrund der Natur der untersuchten Straftat auch nicht ersichtlich. Im Vordergrund könnten Genugtuungsansprüche wegen der zur Anzeige gebrachten angeblichen Ehrverletzungsdelikte stehen. Dabei stellte sich jedoch die Frage, ob und durch welche konkreten Umstände der Beschwerdeführer durch das angebliche Delikt eine rechtlich erhebliche seelische Unbill erlitten haben soll. Denn Genugtuungsansprüche bestehen nur, wenn es die Schwere der Verletzung rechtfertigt; der Eingriff muss aussergewöhnlich schwer wiegen und in seinen Auswirkungen das Mass einer Aufregung oder einer alltäglichen Sorge deutlich übersteigen. Der Beschwerdeführer äussert sich nicht dazu und setzt sich auch sonst nicht mit der einschlägigen bundesgerichtlichen Rechtsprechung zur Beschwerdelegitimation nach Art. 81 Abs. 1 lit. b Ziff. 5 BGG auseinander. Die Beschwerde vermag damit den Begründungsanforderungen offensichtlich nicht zu genügen.</w:t>
      </w:r>
    </w:p>
    <w:p>
      <w:r>
        <w:t>Der Beschwerdeführer äussert zudem keine formellen Einwendungen, die nicht auf eine Überprüfung in der Sache abzielen, weshalb auch nicht in Anwendung der sog. "Star-Praxis" (siehe BGE 141 IV 1 E. 1.1 mit Hinweisen) auf die Beschwerde einzutreten ist.</w:t>
      </w:r>
    </w:p>
    <w:p>
      <w:r>
        <w:rPr>
          <w:b/>
        </w:rPr>
        <w:t>E. 4</w:t>
      </w:r>
    </w:p>
    <w:p>
      <w:r>
        <w:t>Auf die Beschwerde ist im Verfahren nach Art. 108 BGG nicht einzutreten. Die Gerichtskosten sind dem Beschwerdeführer aufzuerlegen ( Art. 66 Abs. 1 BGG ). Das Gesuch um unentgeltliche Rechtspflege ist wegen offensichtlicher Aussichtslosigkeit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