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398/2023 vom 4. August 2023</w:t>
      </w:r>
    </w:p>
    <w:p>
      <w:r>
        <w:t>Bundesgericht, 2023-08-04, FR</w:t>
      </w:r>
    </w:p>
    <w:p>
      <w:r>
        <w:rPr>
          <w:b/>
        </w:rPr>
        <w:t xml:space="preserve">Quelle: </w:t>
      </w:r>
      <w:r>
        <w:t>https://mcp.opencaselaw.ch/entscheid/bger_7B_398_2023</w:t>
      </w:r>
    </w:p>
    <w:p>
      <w:r>
        <w:t>FR: TF 7B 398/2023 du 4 août 2023</w:t>
      </w:r>
    </w:p>
    <w:p>
      <w:r>
        <w:t>IT: TF 7B 398/2023 del 4 agosto 2023</w:t>
      </w:r>
    </w:p>
    <w:p>
      <w:pPr>
        <w:pStyle w:val="Heading2"/>
      </w:pPr>
      <w:r>
        <w:t>Regeste</w:t>
      </w:r>
    </w:p>
    <w:p>
      <w:r>
        <w:t>Récusation; irrecevabilité du recours en matière pénale (recours tardif) | Questions de compétences, garantie du juge du domicile et du ...</w:t>
      </w:r>
    </w:p>
    <w:p>
      <w:pPr>
        <w:pStyle w:val="Heading2"/>
      </w:pPr>
      <w:r>
        <w:t>Erwägungen</w:t>
      </w:r>
    </w:p>
    <w:p>
      <w:r>
        <w:rPr>
          <w:b/>
        </w:rPr>
        <w:t>E. 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mémoires doivent être remis au plus tard le dernier jour du délai, soit au Tribunal fédéral soit, à l'attention de ce dernier, à La Poste Suisse ou à une représentation diplomatique ou consulaire suisse ( art. 48 al. 1 LTF ). En l'espèce, la notification par pli recommandé de l'arrêt attaqué est intervenue le 22 mai 2023, de sorte que le délai de recours est arrivé à échéance le mercredi 21 juin 2023. Il s'ensuit que le recours, qui a été déposé le 2 août 2023, est manifestement tardif.</w:t>
      </w:r>
    </w:p>
    <w:p>
      <w:r>
        <w:rPr>
          <w:b/>
        </w:rPr>
        <w:t>E. 2</w:t>
      </w:r>
    </w:p>
    <w:p>
      <w:r>
        <w:t>Au vu de ce qui précède, l'irrecevabilité manifeste du recours doit être constatée dans la procédure prévue par l' art. 108 al. 1 let. a LTF . Comme le recours était dénué de chances de succès, la demande d'assistance judiciaire doit être rejetée ( art. 64 al. 1 LTF ), ce qui relève également de la compétence du juge unique prévu par l' art. 108 LTF ( art. 64 al. 3 2 e phrase LTF; arrêt 2C_384/2020 du 9 juin 2020 consid. 2.4 et les réf. citées). La recourante, qui succombe, supportera les frais judiciaires, qui seront fixés en tenant compte de sa situation financière n'apparaissant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