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7B_394/2025 vom 19. Mai 2025</w:t>
      </w:r>
    </w:p>
    <w:p>
      <w:r>
        <w:t>Bundesgericht, 2025-05-19, DE</w:t>
      </w:r>
    </w:p>
    <w:p>
      <w:r>
        <w:rPr>
          <w:b/>
        </w:rPr>
        <w:t xml:space="preserve">Quelle: </w:t>
      </w:r>
      <w:r>
        <w:t>https://mcp.opencaselaw.ch/entscheid/bger_7B_394_2025</w:t>
      </w:r>
    </w:p>
    <w:p>
      <w:r>
        <w:t>FR: TF 7B_394/2025 du 19 mai 2025</w:t>
      </w:r>
    </w:p>
    <w:p>
      <w:r>
        <w:t>IT: TF 7B_394/2025 del 19 maggio 2025</w:t>
      </w:r>
    </w:p>
    <w:p>
      <w:pPr>
        <w:pStyle w:val="Heading2"/>
      </w:pPr>
      <w:r>
        <w:t>Erwägungen</w:t>
      </w:r>
    </w:p>
    <w:p>
      <w:r>
        <w:rPr>
          <w:b/>
        </w:rPr>
        <w:t>E. 1</w:t>
      </w:r>
    </w:p>
    <w:p>
      <w:r>
        <w:t>Mit Eingabe vom 11. März 2025 wandte sich A.________ mit dem Betreff "Staatsanwaltschaft Zürich-Sihl" an das Obergericht des Kantons Zürich. In der Eingabe führte er unter anderem aus, der Vorwurf betreffend Fahren ohne Berechtigung sei erlogen und betrogen. Seiner Eingabe legte A.________ diverse Verfügungen des Strassenverkehrsamts des Kantons Zürich sowie eine Beschlagnahmeverfügung der Staatsanwaltschaft Zürich-Sihl bei. Unter Ansetzung einer Frist von 7 Tagen forderte das Obergericht A.________ mit Schreiben vom 19. März 2025 auf zu erklären, ob seine Eingabe vom 11. März 2025 als formelle Beschwerde entgegenzunehmen sei und um bejahendenfalls den angefochtenen Entscheid sowie die Behörde, die ihn ausgefällt hat, genau zu bezeichnen, sowie seine Beschwerde unter Hinweis auf Art. 385 Abs. 2 StPO allenfalls noch weiter zu begründen bzw. zu verbessern. Da sich A.________ innert der angesetzten Nachfrist nicht mehr äusserte, trat das Obergericht mit Verfügung vom 11. April 2025 in Anwendung von Art. 388 Abs. 2 lit. a StPO auf die Eingabe von 11. März 2025 nicht ein.</w:t>
      </w:r>
    </w:p>
    <w:p>
      <w:r>
        <w:rPr>
          <w:b/>
        </w:rPr>
        <w:t>E. 2</w:t>
      </w:r>
    </w:p>
    <w:p>
      <w:r>
        <w:t>A.________ führt mit Eingabe vom 2. Mai 2025 Beschwerde in Strafsachen gegen die Verfügung vom 11. April 2025. 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Der Beschwerdeführer setzt sich nicht ansatzweise mit der Begründung der Vorinstanz auseinander. Stattdessen wirft er den Zürcher Behörden pauschal eine falsche Beweisführung vor und macht ohne weitere Begründung geltend, in seinem Fall seien die Bestimmungen von Art. 252, Art. 263 und Art. 352 StPO falsch angewandt worden. Solche appellatorische Kritik genügt den dargelegten Begründungsanforderungen offensichtlich nicht, weshalb auf die Beschwerde im vereinfachten Verfahren nach Art. 108 Abs. 1 lit. b BGG nicht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