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7B_383/2024 vom 21. Mai 2024</w:t>
      </w:r>
    </w:p>
    <w:p>
      <w:r>
        <w:t>Bundesgericht, 2024-05-21, DE</w:t>
      </w:r>
    </w:p>
    <w:p>
      <w:r>
        <w:rPr>
          <w:b/>
        </w:rPr>
        <w:t xml:space="preserve">Quelle: </w:t>
      </w:r>
      <w:r>
        <w:t>https://mcp.opencaselaw.ch/entscheid/bger_7B_383_2024</w:t>
      </w:r>
    </w:p>
    <w:p>
      <w:r>
        <w:t>FR: TF 7B_383/2024 du 21 mai 2024</w:t>
      </w:r>
    </w:p>
    <w:p>
      <w:r>
        <w:t>IT: TF 7B_383/2024 del 21 maggio 2024</w:t>
      </w:r>
    </w:p>
    <w:p>
      <w:pPr>
        <w:pStyle w:val="Heading2"/>
      </w:pPr>
      <w:r>
        <w:t>Erwägungen</w:t>
      </w:r>
    </w:p>
    <w:p>
      <w:r>
        <w:rPr>
          <w:b/>
        </w:rPr>
        <w:t>E. 1</w:t>
      </w:r>
    </w:p>
    <w:p>
      <w:r>
        <w:t>Mit Verfügung vom 28. September 2023 hat die Staatsanwaltschaft Winterthur/Unterland eine Strafuntersuchung gegen A.________ betreffend Verleumdung etc. nicht an die Hand genommen. Auf die hiergegen gerichtete Beschwerde von A.________ trat das Obergericht des Kantons Zürich mit Beschluss vom 8. März 2024 mangels Beschwer nicht ein. Ebenso wenig trat es im Weiteren auf das gegen einen Oberrichter, zwei Oberrichterinnen und einen Gerichtsschreiber des Obergerichts gestellte Ausstandsgesuch von A.________ ein. Gleichzeitig wies die Verfahrensleitung des Obergerichts das Gesuch von A.________ um Gewährung der unentgeltlichen Rechtspflege ab.</w:t>
      </w:r>
    </w:p>
    <w:p>
      <w:r>
        <w:rPr>
          <w:b/>
        </w:rPr>
        <w:t>E. 2</w:t>
      </w:r>
    </w:p>
    <w:p>
      <w:r>
        <w:t>Der Beschwerdeführer wendet sich mit Eingabe vom 26. März 2024 gegen den Beschluss bzw. die Verfügung des Obergerichts vom 8. März 2024.</w:t>
      </w:r>
    </w:p>
    <w:p>
      <w:r>
        <w:rPr>
          <w:b/>
        </w:rPr>
        <w:t>E. 3</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4</w:t>
      </w:r>
    </w:p>
    <w:p>
      <w:r>
        <w:t>Die Vorinstanz legt ihre Gründe für das Nichteintreten auf die Beschwerde und das Ausstandsgesuch sowie die Abweisung des Gesuchs um Gewährung der unentgeltlichen Rechtspflege ausführlich dar. Was daran in tatsächlicher oder rechtlicher Hinsicht fehlerhaft sein sollte, ergibt sich aus der Beschwerde nicht. Dass und inwiefern die Vorinstanz bei ihren tatsächlichen Feststellungen in Willkür verfallen wäre und/oder beim von ihr festgestellten Sachverhalt gegen das Recht verstossen hätte, legt der Beschwerdeführer nicht im Ansatz dar, soweit er sich überhaupt auf den vorliegenden Verfahrensgegenstand bezieht. Damit kommt er den Begründungsanforderungen vor Bundesgericht nicht nach. Der Begründungsmangel ist offensichtlich ( Art. 42 Abs. 2, Art. 106 Abs. 2 BGG ).</w:t>
      </w:r>
    </w:p>
    <w:p>
      <w:r>
        <w:rPr>
          <w:b/>
        </w:rPr>
        <w:t>E. 5</w:t>
      </w:r>
    </w:p>
    <w:p>
      <w:r>
        <w:t>Auf die Beschwerde ist im Verfahren nach Art. 108 BGG nicht einzutreten. Die Gerichtskosten sind dem Beschwerdeführer aufzuerlegen ( Art. 66 Abs. 1 BGG ). Das Gesuch um unentgeltliche Rechtspflege ist wegen offensichtlicher Aussichtslosigkeit der Begehren abzuweisen ( Art. 64 Abs. 1 BGG ). Den finanziellen Verhältnissen des Beschwerdeführers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