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382/2024 vom 23. April 2024</w:t>
      </w:r>
    </w:p>
    <w:p>
      <w:r>
        <w:t>Bundesgericht, 2024-04-23, DE</w:t>
      </w:r>
    </w:p>
    <w:p>
      <w:r>
        <w:rPr>
          <w:b/>
        </w:rPr>
        <w:t xml:space="preserve">Quelle: </w:t>
      </w:r>
      <w:r>
        <w:t>https://mcp.opencaselaw.ch/entscheid/bger_7B_382_2024</w:t>
      </w:r>
    </w:p>
    <w:p>
      <w:r>
        <w:t>FR: TF 7B 382/2024 du 23 avril 2024</w:t>
      </w:r>
    </w:p>
    <w:p>
      <w:r>
        <w:t>IT: TF 7B 382/2024 del 23 aprile 2024</w:t>
      </w:r>
    </w:p>
    <w:p>
      <w:pPr>
        <w:pStyle w:val="Heading2"/>
      </w:pPr>
      <w:r>
        <w:t>Regeste</w:t>
      </w:r>
    </w:p>
    <w:p>
      <w:r>
        <w:t>Haftenlassungsgesuch; Nichteintreten | Strafprozess</w:t>
      </w:r>
    </w:p>
    <w:p>
      <w:pPr>
        <w:pStyle w:val="Heading2"/>
      </w:pPr>
      <w:r>
        <w:t>Erwägungen</w:t>
      </w:r>
    </w:p>
    <w:p>
      <w:r>
        <w:rPr>
          <w:b/>
        </w:rPr>
        <w:t>E. 1</w:t>
      </w:r>
    </w:p>
    <w:p>
      <w:r>
        <w:t>Das Bezirksgericht Zürich sprach A.________ mit Urteil vom 11. Mai 2022 der vorsätzlichen Tötung und der Störung des Totenfriedens schuldig und verurteilte ihn zu einer Freiheitsstrafe von 13 Jahren und sechs Monaten. Gegen dieses Urteil wurde Berufung an das Obergericht des Kantons Zürich erhoben. A.________ befindet sich seit dem 21. September 2016 in Haft, seit dem 5. August 2022 im vorzeitigen Strafvollzug. Am 1. März 2024 stellte er ein Haftentlassungsgesuch, welches die Präsidentin der II. Strafkammer des Obergerichts des Kantons Zürich mit Präsidialverfügung vom 12. März 2024 abwies. Sie bejahte dabei den dringenden Tatverdacht sowie das Vorliegen des besonderen Haftgrundes der Wiederholungsgefahr und erachtete die Haft als noch verhältnismässig.</w:t>
      </w:r>
    </w:p>
    <w:p>
      <w:r>
        <w:rPr>
          <w:b/>
        </w:rPr>
        <w:t>E. 2</w:t>
      </w:r>
    </w:p>
    <w:p>
      <w:r>
        <w:t>A.________ führt mit Eingabe vom 26. März 2024 Beschwerde in Strafsachen gegen die Präsidialverfügung der II. Strafkammer des Obergerichts des Kantons Zürich und ersucht sinngemäss um sofortige Haftentlassung. Das Bundesgericht verzichtet auf die Einholung von Vernehmlassungen.</w:t>
      </w:r>
    </w:p>
    <w:p>
      <w:r>
        <w:rPr>
          <w:b/>
        </w:rPr>
        <w:t>E. 3</w:t>
      </w:r>
    </w:p>
    <w:p>
      <w:r>
        <w:t>Gemäss Art. 42 Abs. 1 BGG hat die Beschwerde an das Bundesgericht Rechtsbegehren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w:t>
      </w:r>
    </w:p>
    <w:p>
      <w:r>
        <w:rPr>
          <w:b/>
        </w:rPr>
        <w:t>E. 4</w:t>
      </w:r>
    </w:p>
    <w:p>
      <w:r>
        <w:t>Der Beschwerdeführer setzt sich nicht mit der Begründung der Vorinstanz auseinander, sondern erhebt verschiedene abstrakte Rügen und zitiert verschiedene Gesetzesbestimmungen, ohne dabei auch nur im Ansatz konkret aufzuzeigen, inwiefern die Vorinstanz das Haftentlassungsgesuch rechtswidrig behandelt haben sollte. Aus seinen Ausführungen ergibt sich daher nicht, inwiefern die Begründung der Vorinstanz bzw. deren Verfügung selbst rechts- bzw. verfassungswidrig sein soll. Die Beschwerde genügt den gesetzlichen Formerfordernissen offensichtlich nicht, weshalb auf sie im vereinfachten Verfahren nach Art. 108 Abs. 1 BGG nicht einzutreten ist.</w:t>
      </w:r>
    </w:p>
    <w:p>
      <w:r>
        <w:rPr>
          <w:b/>
        </w:rPr>
        <w:t>E. 5</w:t>
      </w:r>
    </w:p>
    <w:p>
      <w:r>
        <w:t>Das sinngemäss gestellte Gesuch um unentgeltliche Rechtspflege und Verbeiständung ist abzuweisen, da sich die Beschwerde als offensichtlich aussichtslos erweist ( Art. 64 Abs. 1 BGG ). Damit wird der Beschwerdeführer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