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7B_37/2025 vom 26. Februar 2025</w:t>
      </w:r>
    </w:p>
    <w:p>
      <w:r>
        <w:t>Bundesgericht, 2025-02-26, DE</w:t>
      </w:r>
    </w:p>
    <w:p>
      <w:r>
        <w:rPr>
          <w:b/>
        </w:rPr>
        <w:t xml:space="preserve">Quelle: </w:t>
      </w:r>
      <w:r>
        <w:t>https://mcp.opencaselaw.ch/entscheid/bger_7B_37_2025</w:t>
      </w:r>
    </w:p>
    <w:p>
      <w:r>
        <w:t>FR: TF 7B_37/2025 du 26 février 2025</w:t>
      </w:r>
    </w:p>
    <w:p>
      <w:r>
        <w:t>IT: TF 7B_37/2025 del 26 febbraio 2025</w:t>
      </w:r>
    </w:p>
    <w:p>
      <w:pPr>
        <w:pStyle w:val="Heading2"/>
      </w:pPr>
      <w:r>
        <w:t>Erwägungen</w:t>
      </w:r>
    </w:p>
    <w:p>
      <w:r>
        <w:rPr>
          <w:b/>
        </w:rPr>
        <w:t>E. 1</w:t>
      </w:r>
    </w:p>
    <w:p>
      <w:r>
        <w:t>Der Beschwerdeführer reichte am 6. Juni 2024 Strafanzeige gegen B.________ wegen einfacher Körperverletzung ein. Am 27. September 2024 nahm das Untersuchungsamt St. Gallen die Strafuntersuchung nicht an Hand. Eine dagegen vom Beschwerdeführer erhobene Beschwerde wurde vom Kantonsgericht St. Gallen (hiernach: Kantonsgericht) mit Entscheid vom 12. Dezember 2024 abgewiesen, soweit darauf eingetreten wurde. Der Beschwerdeführer gelangt mit Beschwerde in Strafsachen vom 14. Januar 2025 (Postaufgabe) ans Bundesgericht.</w:t>
      </w:r>
    </w:p>
    <w:p>
      <w:r>
        <w:rPr>
          <w:b/>
        </w:rPr>
        <w:t>E. 2</w:t>
      </w:r>
    </w:p>
    <w:p>
      <w:r>
        <w:t>Gegenstand des bundesgerichtlichen Verfahrens ist ausschliesslich der angefochtene Entscheid des Kantonsgerichts vom 12. Dezember 2024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4</w:t>
      </w:r>
    </w:p>
    <w:p>
      <w:r>
        <w:t>Die Beschwerde enthält keine Begehren. Aus der Beschwerdebegründung ergibt sich, dass der Beschwerdeführer mit der Beschwerde die Aufhebung des angefochtenen Entscheids anbegehrt und letztlich die Einleitung einer Strafuntersuchung gegen B.________ erwirken möchte. Die Beschwerde geht zudem mit keinem Wort auf die Beschwerdelegitimation des Beschwerdeführers bzw. einen diesem allenfalls zustehenden Zivilanspruch im Sinne von Art. 81 Abs. 1 lit. b Ziff. 5 BGG ein - was, wie dargelegt, Voraussetzung dafür wäre, auf die Beschwerde einzutreten. Ferner begründet der Beschwerdeführer nicht, weshalb die angefochtene Verfügung in tatsächlicher oder rechtlicher Hinsicht fehlerhaft sein sollte. Die knappen Ausführungen in der Beschwerdeschrift setzen sich nicht materiell mit den vorinstanzlichen Erwägungen auseinander, sondern beschränken sich auf appellatorische Kritik. Insgesamt vermag die Beschwerde den Begründungsanforderungen offensichtlich nicht zu genügen.</w:t>
      </w:r>
    </w:p>
    <w:p>
      <w:r>
        <w:rPr>
          <w:b/>
        </w:rPr>
        <w:t>E. 5</w:t>
      </w:r>
    </w:p>
    <w:p>
      <w:r>
        <w:t>Der Beschwerdeführer rügt ferner keine Verletzung von Verfahrensrechten, deren Missachtung einer formellen Rechtsverweigerung gleichkommen würde und von der Prüfung der Sache getrennt werden könnte ("Star-Praxis"; BGE 146 IV 76 E. 2; 141 IV 1 E. 1.1).</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