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37/2024 vom 29. Januar 2024</w:t>
      </w:r>
    </w:p>
    <w:p>
      <w:r>
        <w:t>Bundesgericht, 2024-01-29, FR</w:t>
      </w:r>
    </w:p>
    <w:p>
      <w:r>
        <w:rPr>
          <w:b/>
        </w:rPr>
        <w:t xml:space="preserve">Quelle: </w:t>
      </w:r>
      <w:r>
        <w:t>https://mcp.opencaselaw.ch/entscheid/bger_7B_37_2024</w:t>
      </w:r>
    </w:p>
    <w:p>
      <w:r>
        <w:t>FR: TF 7B 37/2024 du 29 janvier 2024</w:t>
      </w:r>
    </w:p>
    <w:p>
      <w:r>
        <w:t>IT: TF 7B 37/2024 del 29 gennaio 2024</w:t>
      </w:r>
    </w:p>
    <w:p>
      <w:pPr>
        <w:pStyle w:val="Heading2"/>
      </w:pPr>
      <w:r>
        <w:t>Regeste</w:t>
      </w:r>
    </w:p>
    <w:p>
      <w:r>
        <w:t>Refus de l'effet suspensif; irrecevabilité du recours en matière pénale (motivation insuffisante), | Procédure pénale</w:t>
      </w:r>
    </w:p>
    <w:p>
      <w:pPr>
        <w:pStyle w:val="Heading2"/>
      </w:pPr>
      <w:r>
        <w:t>Erwägungen</w:t>
      </w:r>
    </w:p>
    <w:p>
      <w:r>
        <w:rPr>
          <w:b/>
        </w:rPr>
        <w:t>E. 1.1</w:t>
      </w:r>
    </w:p>
    <w:p>
      <w:r>
        <w:t>La décision refusant d'octroyer l'effet suspensif porte sur des mesures provisionnelles au sens de l' art. 98 LTF (cf. ATF 137 III 475 consid. 2 et les réf. citées; arrêts 7B_145/2023 du 10 juillet 2023 consid. 3; 6B_371/2019 du 28 mars 2019 consid. 4). Dans le recours au Tribunal fédéral contre une telle décision, seule peut être invoquée la violation des droits constitutionnels ( art. 98 LTF ). Le Tribunal fédéral n'examine toutefois de tels moyens que s'ils sont invoqués et motivés par le recourant ( art. 106 al. 2 LTF ), c'est-à-dire s'ils ont été expressément soulevés et exposés de manière claire et détaillée ( ATF 147 IV 73 consid. 4.1.2). Les critiques de nature appellatoire sont irrecevables ( ATF 142 III 364 consid. 2.4 et les réf. citées).</w:t>
      </w:r>
    </w:p>
    <w:p>
      <w:r>
        <w:rPr>
          <w:b/>
        </w:rPr>
        <w:t>E. 1.2</w:t>
      </w:r>
    </w:p>
    <w:p>
      <w:r>
        <w:t>En l'espèce, le recourant ne dit mot, dans son écriture, sur la recevabilité de son recours sous l'angle de l' art. 98 LTF . Il se limite à invoquer sur le fond une violation de l' art. 387 CPP , sans soulever un seul grief se rapportant à un droit constitutionnel. Il pourrait certes être déduit de ses développements en lien avec l' art. 93 al. 1 let. a LTF qu'il entend également se prévaloir d'une atteinte à sa sphère privée. Toutefois, tout moyen pouvant être fondé sur la protection de la sphère privée (cf. art. 13 al. 1 Cst. ) n'est ni invoqué ni motivé à satisfaction de droit (cf. art. 106 al. 2 LTF ).</w:t>
      </w:r>
    </w:p>
    <w:p>
      <w:r>
        <w:rPr>
          <w:b/>
        </w:rPr>
        <w:t>E. 1.3</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Le recourant, qui succombe, supportera les frais judiciaires conformément aux art. 65 al. 3 et 66 al. 1 LTF. La cause étant jugée, la requête de mesures provisionnelles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