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378/2025 vom 21. Juli 2025</w:t>
      </w:r>
    </w:p>
    <w:p>
      <w:r>
        <w:t>Bundesgericht, 2025-07-21, DE</w:t>
      </w:r>
    </w:p>
    <w:p>
      <w:r>
        <w:rPr>
          <w:b/>
        </w:rPr>
        <w:t xml:space="preserve">Quelle: </w:t>
      </w:r>
      <w:r>
        <w:t>https://mcp.opencaselaw.ch/entscheid/bger_7B_378_2025</w:t>
      </w:r>
    </w:p>
    <w:p>
      <w:r>
        <w:t>FR: TF 7B 378/2025 du 21 juillet 2025</w:t>
      </w:r>
    </w:p>
    <w:p>
      <w:r>
        <w:t>IT: TF 7B 378/2025 del 21 luglio 2025</w:t>
      </w:r>
    </w:p>
    <w:p>
      <w:pPr>
        <w:pStyle w:val="Heading2"/>
      </w:pPr>
      <w:r>
        <w:t>Regeste</w:t>
      </w:r>
    </w:p>
    <w:p>
      <w:r>
        <w:t>Entsiegelung | Strafprozess</w:t>
      </w:r>
    </w:p>
    <w:p>
      <w:pPr>
        <w:pStyle w:val="Heading2"/>
      </w:pPr>
      <w:r>
        <w:t>Erwägungen</w:t>
      </w:r>
    </w:p>
    <w:p>
      <w:r>
        <w:rPr>
          <w:b/>
        </w:rPr>
        <w:t>E. 1</w:t>
      </w:r>
    </w:p>
    <w:p>
      <w:r>
        <w:t>Angefochten ist ein Entscheid über die Entsiegelung von Aufzeichnungen und Gegenständen, die in einem strafprozessualen Untersuchungsverfahren in Anwendung von Art. 246 ff. StPO sichergestellt wurden. Die Vorinstanz hat gemäss Art. 248a Abs. 1 lit. a und Abs. 4 und Art. 380 StPO als einzige kantonale Instanz entschieden, weshalb die Beschwerde in Strafsachen an das Bundesgericht nach Art. 78 ff. BGG offensteht. Der angefochtene Entscheid schliesst das Strafverfahren nicht ab und ist damit ein Zwischenentscheid, der weder die Zuständigkeit noch den Ausstand betrifft. Gemäss Art. 93 Abs. 1 lit. a BGG ist die Beschwerde gegen einen solchen Entscheid nur zulässig, wenn er einen nicht wieder gutzumachenden Nachteil bewirken kann. Nach der Rechtsprechung droht ein solcher Nachteil, wenn die beschuldigte Person ausreichend substanziiert geltend macht, der Entsiegelung stünden geschützte Geheimhaltungsrechte entgegen (Urteile 7B_428/2024 vom 6. November 2024 E. 1.2.2; 7B_106/2022 vom 16. November 2023 E. 1.2). Der Beschwerdeführer bringt vor, auf den sichergestellten Geräten befänden sich Dokumente, die durch das Anwaltsgeheimnis geschützt seien. Damit droht ihm ein nicht wieder gutzumachender Nachteil. Da auch die übrigen Sachurteilsvoraussetzungen erfüllt sind, ist auf die Beschwerde einzutreten.</w:t>
      </w:r>
    </w:p>
    <w:p>
      <w:r>
        <w:rPr>
          <w:b/>
        </w:rPr>
        <w:t>E. 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StPO dürfen jedoch gewisse Gegenstände und Aufzeichnungen - ungeachtet des Ortes, wo sie sich befinden und des Zeitpunktes, in welchen sie geschaffen worden sind - nicht beschlagnahmt werden. 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BGE 144 IV 74 E. 2.2; 141 IV 77 E. 4.1).</w:t>
      </w:r>
    </w:p>
    <w:p>
      <w:r>
        <w:rPr>
          <w:b/>
        </w:rPr>
        <w:t>E. 3.1</w:t>
      </w:r>
    </w:p>
    <w:p>
      <w:r>
        <w:t>Die Vorinstanz hält im angefochtenen Entscheid fest, der Beschwerdeführer habe ausreichend glaubhaft dargelegt, dass er mit zwei Rechtsanwälten - Dr. Yves Waldmann und Severin Bellwald - korrespondiert habe und sich diese Korrespondenz auf den gesiegelten Datenträgern befinde. Die Entsiegelung werde mit Ausnahme der Anwaltskorrespondenz gutgeheissen. Die Geräte blieben vorerst noch versiegelt, da die Korrespondenz mit Dr. Yves Waldmann und Severin Bellwald noch ausgesondert werden müsse. Sobald ihr Entscheid in Rechtskraft erwachse, werde hierzu "ein separater Auftrag" an eine "ausserkantonale Fachstelle" erteilt.</w:t>
      </w:r>
    </w:p>
    <w:p>
      <w:r>
        <w:rPr>
          <w:b/>
        </w:rPr>
        <w:t>E. 3.2</w:t>
      </w:r>
    </w:p>
    <w:p>
      <w:r>
        <w:t>Gemäss Art. 248a Abs. 6 lit. a StPO kann das für die Entsiegelung zuständige Gericht im Entsiegelungsverfahren eine sachverständige Person beiziehen, um den Inhalt der Aufzeichnungen und Gegenstände zu prüfen, den Zugang zu diesen zu erhalten oder deren Integrität zu gewährleisten. Als Sachverständige können natürliche Personen ernannt werden, die auf dem betreffenden Fachgebiet die erforderlichen besonderen Kenntnisse und Fähigkeiten besitzen ( Art. 183 Abs. 1 StPO ). Das Gericht darf den Entsiegelungsentscheid aber nicht vollumfänglich an die sachverständige Person delegieren, denn es ist Aufgabe des Gerichts, die gesiegelten Aufzeichnungen und Gegenstände wenn nötig zu triagieren und die geheimnisgeschützten Informationen auszusondern (siehe Urteil 1B_108/2011 vom 6. Juni 2011 E. 1.2 mit Hinweisen). Es darf die Entsiegelung der sichergestellten Aufzeichnungen und Gegenstände erst anordnen, wenn es dieser Aufgabe nachgekommen ist, also nachdem es die geheimnisgeschützten Informationen - ob mit oder ohne der Hilfe einer sachverständigen Person - ausgesondert hat. Aus diesem Grund darf es nicht materiell über das Entsiegelungsgesuch entscheiden und im selben Entscheid noch prozessleitende Verfügungen treffen, etwa betreffend die Triage der sichergestellten Aufzeichnungen und Gegenstände. Eine solche Vermischung materieller und prozessleitender Gesichtspunkte in einem sogenannten hybriden Entsiegelungsentscheid ist unzulässig (Urteile 1B_127/2022, 1B_128/2022, 1B_140/2022 vom 28. Oktober 2022 E. 4.1.3; 1B_380/2020 vom 13. Januar 2021 E. 2.3; 1B_555/2017 vom 22. Juni 2018 E. 3.3; 1B_519/2017 vom 27. März 2018 E. 2.2).</w:t>
      </w:r>
    </w:p>
    <w:p>
      <w:r>
        <w:rPr>
          <w:b/>
        </w:rPr>
        <w:t>E. 3.3</w:t>
      </w:r>
    </w:p>
    <w:p>
      <w:r>
        <w:t>Dem Beschwerdeführer ist zuzustimmen, dass der angefochtene Entscheid Bundesrecht verletzt: Wie er zutreffend geltend macht, handelt es sich bei der Verfügung vom 27. März 2025 um einen hybriden Entsiegelungsentscheid, mit dem die Vorinstanz das Entsiegelungsgesuch teilweise gutheisst, obschon sie die angeblich auf den gesiegelten Geräten vorhandene Anwaltskorrespondenz noch gar nicht aussortiert hat und zu diesem Zweck im gleichen Entscheid prozessleitende Verfügungen trifft. Nach der zitierten Rechtsprechung ist dieses Vorgehen unzulässig. Die Entsiegelung darf nicht angeordnet werden, ohne dass die gesiegelten Aufzeichnungen und Gegenständen vom Gericht im Einzelnen geprüft und triagiert wurden. Es erübrigt sich daher, auf die übrigen Rügen des Beschwerdeführers einzugehen.</w:t>
      </w:r>
    </w:p>
    <w:p>
      <w:r>
        <w:rPr>
          <w:b/>
        </w:rPr>
        <w:t>E. 4</w:t>
      </w:r>
    </w:p>
    <w:p>
      <w:r>
        <w:t>Die Beschwerde ist gutzuheissen und der angefochtene Entscheid aufzuheben und zu neuer Entscheidung an die Vorinstanz zurückzuweisen. Sofern diese für die Triage der sichergestellten Aufzeichnungen und Gegenstände eine sachverständige Person beiziehen möchte, hat sie diese eindeutig zu benennen und den Parteien vorgängig Gelegenheit zu geben, sich dazu zu äussern (vgl. Art. 184 Abs. 3 StPO ). Es sind keine Gerichtskosten zu erheben ( Art. 66 Abs. 4 BGG ). Der Kanton Basel-Stadt ist zu verpflichten, dem Beschwerdeführer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