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7B_376/2023 vom 22. Februar 2024</w:t>
      </w:r>
    </w:p>
    <w:p>
      <w:r>
        <w:t>Bundesgericht, 2024-02-22, DE</w:t>
      </w:r>
    </w:p>
    <w:p>
      <w:r>
        <w:rPr>
          <w:b/>
        </w:rPr>
        <w:t xml:space="preserve">Quelle: </w:t>
      </w:r>
      <w:r>
        <w:t>https://mcp.opencaselaw.ch/entscheid/bger_7B_376_2023</w:t>
      </w:r>
    </w:p>
    <w:p>
      <w:r>
        <w:t>FR: TF 7B_376/2023 du 22 février 2024</w:t>
      </w:r>
    </w:p>
    <w:p>
      <w:r>
        <w:t>IT: TF 7B_376/2023 del 22 febbraio 2024</w:t>
      </w:r>
    </w:p>
    <w:p>
      <w:pPr>
        <w:pStyle w:val="Heading2"/>
      </w:pPr>
      <w:r>
        <w:t>Erwägungen</w:t>
      </w:r>
    </w:p>
    <w:p>
      <w:r>
        <w:rPr>
          <w:b/>
        </w:rPr>
        <w:t>E. 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indes nur berechtigt, wenn sich der angefochtene Entscheid auf die Beurteilung ihrer Zivilansprüche auswirken kann (Art. 81 Abs. 1 lit. b Ziff. 5 BGG).</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t>Gegenstand der Beschwerde bildet ein Nichteintretensentscheid der kantonalen Beschwerdeinstanz. Zu behandeln sind deshalb einzig die von der Beschwerdeführerinnen vorgebrachten formellen Rügen gegen den Nichteintretensentscheid, zu welchen sie unbesehen der Legitimation in der Sache befugt sind.</w:t>
      </w:r>
    </w:p>
    <w:p>
      <w:r>
        <w:rPr>
          <w:b/>
        </w:rPr>
        <w:t>E. 2</w:t>
      </w:r>
    </w:p>
    <w:p>
      <w:r>
        <w:t>Die Beschwerdeführerinnen bringen zunächst verschiedene Gehörsrügen vor und berufen sich dabei sinngemäss auf den Teilgehalt der Prüfungs- und Begründungspflicht. Dabei verkennen sie, dass sich die aus dem Anspruch auf rechtliches Gehör ( Art. 29 Abs. 2 BV ) folgende Begründungspflicht lediglich auf die für den Entscheid wesentlichen Punkte erstreckt. Nicht erforderlich ist, dass sich die Behörde mit allen Parteistandpunkten einlässlich auseinandersetzt und jedes einzelne Vorbringen ausdrücklich widerlegt ( BGE 147 IV 409 E. 5.3.4; 142 II 49 E. 9.2 ; 136 I 184 E. 2.2.1). Anhand des angefochtenen Beschlusses ist nachvollziehbar, weshalb die Vorinstanz den Beschwerdeführerinnen keine Parteistellung zuerkennt. Damit ist der richterlichen Begründungspflicht Genüge getan.</w:t>
      </w:r>
    </w:p>
    <w:p>
      <w:r>
        <w:rPr>
          <w:b/>
        </w:rPr>
        <w:t>E. 3</w:t>
      </w:r>
    </w:p>
    <w:p>
      <w:r>
        <w:t>Die Beschwerdeführerinnen, welche sich im kantonalen Strafverfahren ausdrücklich als Privatklägerinnen konstituiert haben (vgl. Art. 118 Abs. 1 StPO ), machen weiter geltend, die Vorinstanz sei zu Unrecht nicht auf ihre Beschwerde eingetreten. Die Verneinung ihrer Parteistellung verstosse gegen Art. 115 Abs. 1 StPO .</w:t>
      </w:r>
    </w:p>
    <w:p>
      <w:r>
        <w:rPr>
          <w:b/>
        </w:rPr>
        <w:t>E. 3.1</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 mithin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primär öffentliche Interessen verletzen, private Interessen bloss mittelbar beeinträchtigt, ist der oder die Betroffene nicht geschädigte Person im Sinne des Strafprozessrechts ( BGE 148 IV 170 E. 3.2; 141 IV 454 E. 2.3.1; 140 IV 155 E. 3.2; 138 IV 258 E. 2.2 f.; je mit Hinweisen).</w:t>
      </w:r>
    </w:p>
    <w:p>
      <w:r>
        <w:rPr>
          <w:b/>
        </w:rPr>
        <w:t>E. 3.2</w:t>
      </w:r>
    </w:p>
    <w:p>
      <w:r>
        <w:t>Die Tatbestände des Urkundenstrafrechts ( Art. 251 ff. StGB ) dienen dem Schutz von Sicherheit und Zuverlässigkeit des Rechtsverkehrs mit Urkunden. Sie schützen das besondere Vertrauen, welches von den Teilnehmerinnen am Rechtsverkehr einer Urkunde als Beweismittel entgegengebracht wird. Die Urkundendelikte bezwecken in erster Linie den Schutz der Allgemeinheit. Daneben können auch private Interessen unmittelbar verletzt werden, falls die Urkundenfälschung auf die Benachteiligung einer bestimmten Person abzielt ( BGE 148 IV 170 E. 3.5.1; 140 IV 155 E. 3.3.3; je mit Hinweisen). Dies ist namentlich der Fall, wenn die Urkundenfälschung auf die Verfolgung eines weitergehenden, wirtschaftlichen Zwecks abzielt und insofern als blosse Vorbereitungshandlung eines schädigenden Vermögensdelikts erscheint. Dabei schützt der Tatbestand den Einzelnen davor, durch Scheinerklärungen oder qualifiziert unrichtige Erklärungen getäuscht und dadurch zu nachteiligen rechtserheblichen Dispositionen veranlasst zu werden ( BGE 148 IV 170 E. 3.5.1 mit Hinweisen).</w:t>
      </w:r>
    </w:p>
    <w:p>
      <w:r>
        <w:rPr>
          <w:b/>
        </w:rPr>
        <w:t>E. 3.3</w:t>
      </w:r>
    </w:p>
    <w:p>
      <w:r>
        <w:t>Die Vorinstanz erwägt, es sei nicht ersichtlich, inwiefern das Schreiben von E.________ vom 7. Juli 2020 die Vermögensinteressen der Beschwerdeführerinnen unmittelbar beeinträchtigen könnte. Im Schreiben werde ausgeführt, wie aus Sicht der Bank die Schuldbrieferrichtung erfolgt sei. Hingegen enthalte es keine Erklärung zum angeblichen Wert der Grundstücke, deren Inhalt sich nicht schon aus anderen Dokumenten oder den bereits erfolgten Befragungen ergeben würde. Das Schreiben spreche insbesondere und entgegen den Behauptungen der Beschwerdeführerinnen nicht von einem konkreten Bauprojekt, sondern nur von mutmasslichen Baukosten, die bei der Höhe der Grundpfandschuld bereits berücksichtigt worden seien, damit nicht nachträglich ein zweiter Schuldbrief errichtet werden müsse. Es sei nicht ersichtlich, inwiefern diese Angaben zu einem hypothetischen Bauprojekt die Prozesschancen der Beschwerdeführerinnen in Zivil- bzw. Adhäsionsverfahren gegen G.________ oder andere Personen vermindert hätten.</w:t>
      </w:r>
    </w:p>
    <w:p>
      <w:r>
        <w:t>Die Beschwerdeführerinnen würden weiter geltend machen, mit dem umstrittenen Schreiben sollten ihr Recht auf Beweis und damit auch ihre Schadenersatzansprüche vereitelt werden. Allerdings legten sie nicht dar, weshalb dieses Schreiben tatsächlich eine solche Auswirkung auf ihre prozessuale Position haben solle. Wie sie selbst ausführten, existiere das Hypothekardossier bei der F.________ bank nach wie vor und könne ediert werden. Die Beschwerdeführerinnen würden durch das Schreiben in ihren prozessualen Möglichkeiten, eine entsprechende Edition zu beantragen, nicht eingeschränkt. Auch sei bisher eine Edition des Hypothekardossiers nicht mit Verweis auf das Schreiben vom 7. Juli 2020 abgelehnt worden. Es sei deshalb nicht nachvollziehbar, inwiefern mit dem Schreiben vom 7. Juli 2020 die prozessuale Position der Beschwerdeführerinnen derart geschwächt werden könnte, dass ihre Schadenersatzansprüche vereitelt würden. Entsprechend fehlten auch Hinweise auf einen möglichen Prozessbetrug bzw. den Versuch dazu.</w:t>
      </w:r>
    </w:p>
    <w:p>
      <w:r>
        <w:t>Insgesamt vermöchten die Beschwerdeführerinnen nicht darzulegen, dass das Schreiben von E.________ sie vermögensrechtlich oder auf andere Art benachteiligt hätte, weshalb der Nachweis einer Schädigung ihrer Individualinteressen durch die angebliche Urkundenfälschung misslinge.</w:t>
      </w:r>
    </w:p>
    <w:p>
      <w:r>
        <w:rPr>
          <w:b/>
        </w:rPr>
        <w:t>E. 3.4</w:t>
      </w:r>
    </w:p>
    <w:p>
      <w:r>
        <w:t>Was die Beschwerdeführerinnen gegen diese Erwägungen vorbringen, ist unbehelflich. Sie setzen sich zwar durchaus ausführlich mit der vorinstanzlichen Begründung auseinander; die vorliegend entscheidende Frage, - hierzu oben E. 3.2 in fine - behandeln sie jedoch in keiner Weise. Denn sie legen nicht bzw. jedenfalls nicht in einer den Begründungsanforderungen nach Art. 42 Abs. 2 BGG genügenden Weise dar, dass sie selbst durch das inkriminierte Schreiben vom 7. Juli 2020 getäuscht worden wären und nachteilige rechtserhebliche Disposition gestützt auf dieses getroffen hätten. Soweit sie vage Mutmassungen über einen Prozessbetrug (und damit über eine Verwendung des umstrittenen Schreibens im Dreiecksverhältnis), der sich "nicht auschliessen" lasse, äussern, reichen diese als Begründung ebenfalls nicht aus. Eine unmittelbare Betroffenheit wird aus ihren Ausführungen nicht ersichtlich. Die Beschwerdeführerinnen vermögen daher insgesamt nicht darzutun, dass sie Geschädigte im Sinne von Art. 115 Abs. 1 StPO und legitimiert sind, Beschwerde gemäss Art. 393 ff. StPO gegen die Nichtanhandnahmeverfügung zu führen. Die Verneinung der Beschwerdelegitimation der Beschwerdeführerinnen durch die Vorinstanz hält vor Bundesrecht stand.</w:t>
      </w:r>
    </w:p>
    <w:p>
      <w:r>
        <w:rPr>
          <w:b/>
        </w:rPr>
        <w:t>E. 4</w:t>
      </w:r>
    </w:p>
    <w:p>
      <w:r>
        <w:t>Die Beschwerde ist nach dem Gesagten abzuweisen, soweit auf sie eingetreten werden kann.</w:t>
      </w:r>
    </w:p>
    <w:p>
      <w:r>
        <w:t>Ausgangsgemäss tragen die Beschwerdeführerinnen die Kosten des bundesgerichtlichen Verfahrens ( Art. 66 Abs. 1 BGG ). Diese sind ihnen unter solidarischer Haftbarkeit und intern zu gleichen Teilen aufzuerlegen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