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7B_372/2025 vom 3. Dezember 2025</w:t>
      </w:r>
    </w:p>
    <w:p>
      <w:r>
        <w:t>Bundesgericht, 2025-12-03, DE</w:t>
      </w:r>
    </w:p>
    <w:p>
      <w:r>
        <w:rPr>
          <w:b/>
        </w:rPr>
        <w:t xml:space="preserve">Quelle: </w:t>
      </w:r>
      <w:r>
        <w:t>https://mcp.opencaselaw.ch/entscheid/bger_7B_372_2025</w:t>
      </w:r>
    </w:p>
    <w:p>
      <w:r>
        <w:t>FR: TF 7B_372/2025 du 3 décembre 2025</w:t>
      </w:r>
    </w:p>
    <w:p>
      <w:r>
        <w:t>IT: TF 7B_372/2025 del 3 dicembre 2025</w:t>
      </w:r>
    </w:p>
    <w:p>
      <w:pPr>
        <w:pStyle w:val="Heading2"/>
      </w:pPr>
      <w:r>
        <w:t>Erwägungen</w:t>
      </w:r>
    </w:p>
    <w:p>
      <w:r>
        <w:rPr>
          <w:b/>
        </w:rPr>
        <w:t>E. 1</w:t>
      </w:r>
    </w:p>
    <w:p>
      <w:r>
        <w:t>Das Bundesgericht prüft seine Zuständigkeit und die weiteren Eintretensvoraussetzungen von Amtes wegen ( Art. 29 Abs. 1 BGG ) und mit freier Kognition ( BGE 151 IV 98 E. 1; 150 IV 103 E. 1).</w:t>
      </w:r>
    </w:p>
    <w:p>
      <w:r>
        <w:rPr>
          <w:b/>
        </w:rPr>
        <w:t>E. 1.1</w:t>
      </w:r>
    </w:p>
    <w:p>
      <w:r>
        <w:t>Gemäss Art. 42 Abs. 1 BGG hat die Beschwerde an das Bundesgericht eine Begründung zu enthalten. Darin ist nach Art. 42 Abs. 2 BGG in gedrängter Form darzulegen, inwiefern der angefochtene Akt Recht verletzt.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86 E. 2).</w:t>
      </w:r>
    </w:p>
    <w:p>
      <w:r>
        <w:t>In Bezug auf die Verletzung von Grundrechten einschliesslich der EMRK gilt gemäss Art. 106 Abs. 2 BGG eine qualifizierte Rüge- und Substanziierungspflicht. Das Bundesgericht prüft deren Verletzung nur insofern, als eine solche Rüge explizit vorgebracht und substanziiert begründet worden ist (vgl. BGE 150 IV 389 E. 4.7.1 ; 150 I 50 E. 3.3.1; Urteile 6B_303/2024 vom 12. Juni 2024 E. 2.1.5; 6B_1110/2023 vom 23. Mai 2024 E. 2.3.2; je mit Hinweisen). Auf ungenügend begründete Rügen oder allgemeine appellatorische Kritik am angefochtenen Entscheid tritt das Bundesgericht nicht ein ( BGE 150 IV 360 E. 3.2.1, 389 E. 4.7.1; 148 IV 345 E. 2.1, 39 E. 2.6; je mit Hinweisen).</w:t>
      </w:r>
    </w:p>
    <w:p>
      <w:r>
        <w:rPr>
          <w:b/>
        </w:rPr>
        <w:t>E. 1.2</w:t>
      </w:r>
    </w:p>
    <w:p>
      <w:r>
        <w:t>Der Beschwerdeführer beruft sich vor Bundesgericht einzig auf das Recht auf Achtung des Familienlebens nach Art. 8 EMRK . Er bringt diesbezüglich lediglich vor, dass "die Gerichte" gehalten seien, zu prüfen, ob "die Anwendung" der strafrechtlichen Landesverweisung "verhältnismässig" sei oder ob im konkreten Fall das Recht auf Familienleben "unverhältnismässig beeinträchtigt" werde. Mit diesen Ausführungen legt er nicht konkret dar, warum ihm gestützt auf Art. 8 EMRK das (subjektive) Recht zustehen soll, die vorübergehende Suspendierung der rechtskräftigen obligatorischen Landesverweisung zu verlangen.</w:t>
      </w:r>
    </w:p>
    <w:p>
      <w:r>
        <w:t>Die Beschwerde genügt hinsichtlich der geltend gemachten Verletzung von Art. 8 EMRK den qualifizierten Begründungsanforderungen von Art. 106 Abs. 2 BGG nicht. Darauf ist nicht einzutreten.</w:t>
      </w:r>
    </w:p>
    <w:p>
      <w:r>
        <w:rPr>
          <w:b/>
        </w:rPr>
        <w:t>E. 2</w:t>
      </w:r>
    </w:p>
    <w:p>
      <w:r>
        <w:t>Bei diesem Ausgang des Verfahrens wird der Beschwerdeführer kostenpflichtig ( Art. 66 Abs. 1 BGG ). Das Gesuch um unentgeltliche Rechtspflege ist infolge Aussichtslosigkeit der Rechtsbegehren abzuweisen ( Art. 64 Abs. 1 BGG ). Seiner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