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7B_371/2025 vom 25. Juni 2025</w:t>
      </w:r>
    </w:p>
    <w:p>
      <w:r>
        <w:t>Bundesgericht, 2025-06-25, DE</w:t>
      </w:r>
    </w:p>
    <w:p>
      <w:r>
        <w:rPr>
          <w:b/>
        </w:rPr>
        <w:t xml:space="preserve">Quelle: </w:t>
      </w:r>
      <w:r>
        <w:t>https://mcp.opencaselaw.ch/entscheid/bger_7B_371_2025</w:t>
      </w:r>
    </w:p>
    <w:p>
      <w:r>
        <w:t>FR: TF 7B_371/2025 du 25 juin 2025</w:t>
      </w:r>
    </w:p>
    <w:p>
      <w:r>
        <w:t>IT: TF 7B_371/2025 del 25 giugno 2025</w:t>
      </w:r>
    </w:p>
    <w:p>
      <w:pPr>
        <w:pStyle w:val="Heading2"/>
      </w:pPr>
      <w:r>
        <w:t>Erwägungen</w:t>
      </w:r>
    </w:p>
    <w:p>
      <w:r>
        <w:rPr>
          <w:b/>
        </w:rPr>
        <w:t>E. 1</w:t>
      </w:r>
    </w:p>
    <w:p>
      <w:r>
        <w:t>Mit Verfügung vom 26. März 2025 trat das Kantonsgericht Luzern nicht auf die Beschwerde des Beschwerdeführers gegen die Einstellungsverfügung der Staatsanwaltschaft Abteilung 1 Luzern vom 24. Februar 2025 ein. Der Beschwerdeführer gelangte dagegen mit Beschwerde in Strafsachen vom 29. April 2025 (Postaufgabe) an das Bundesgericht.</w:t>
      </w:r>
    </w:p>
    <w:p>
      <w:r>
        <w:rPr>
          <w:b/>
        </w:rPr>
        <w:t>E. 2</w:t>
      </w:r>
    </w:p>
    <w:p>
      <w:r>
        <w:t>Diese Eingabe erfüllt offensichtlich nicht die Begründungsanforderungen, die an eine Beschwerde an das Bundesgericht gestellt werden ( Art. 42 Abs. 2 und Art. 106 Abs. 2 BGG ; BGE 148 IV 356 E. 2.1, 39 E. 2.3.5; 142 III 364 E. 2.4), namentlich bezüglich eines Zivilanspruchs im Sinne von Art. 81 Abs. 1 lit. b Ziff. 5 BGG (Urteile 7B_1201/2024 vom 22. Januar 2025 E. 1.2; 7B_182/2024 vom 26. März 2024 E. 2.1.2; 7B_18/2024 vom 14. März 2024 E. 2; je mit Hinweisen). Formelle Rügen, zu deren Geltendmachung der Beschwerdeführer unbesehen von der fehlenden Legitimation in der Sache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