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359/2023 vom 6. November 2023</w:t>
      </w:r>
    </w:p>
    <w:p>
      <w:r>
        <w:t>Bundesgericht, 2023-11-06, FR</w:t>
      </w:r>
    </w:p>
    <w:p>
      <w:r>
        <w:rPr>
          <w:b/>
        </w:rPr>
        <w:t xml:space="preserve">Quelle: </w:t>
      </w:r>
      <w:r>
        <w:t>https://mcp.opencaselaw.ch/entscheid/bger_7B_359_2023</w:t>
      </w:r>
    </w:p>
    <w:p>
      <w:r>
        <w:t>FR: TF 7B 359/2023 du 6 novembre 2023</w:t>
      </w:r>
    </w:p>
    <w:p>
      <w:r>
        <w:t>IT: TF 7B 359/2023 del 6 novembre 2023</w:t>
      </w:r>
    </w:p>
    <w:p>
      <w:pPr>
        <w:pStyle w:val="Heading2"/>
      </w:pPr>
      <w:r>
        <w:t>Regeste</w:t>
      </w:r>
    </w:p>
    <w:p>
      <w:r>
        <w:t>Ordonnance de non-entrée en matière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3.3; 146 IV 76 consid. 3.1;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le prévenu.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arrêt 7B_69/2023 du 28 août 2023 consid. 1.1.1). Les mêmes exigences sont requises à l'égard de celui qui se plaint d'une infraction attentatoire à l'honneur (arrêt 6B_116/2020 du 25 mars 2020 consid. 2.1 et les arrêts cités).</w:t>
      </w:r>
    </w:p>
    <w:p>
      <w:r>
        <w:rPr>
          <w:b/>
        </w:rPr>
        <w:t>E. 1.2</w:t>
      </w:r>
    </w:p>
    <w:p>
      <w:r>
        <w:t>En l'espèce, la recourante ne s'exprime pas, dans son recours au Tribunal fédéral, sur l'éventuel tort moral ou dommage - que ce soit sur leur principe ou sur leur quotité - qu'elle entendrait faire valoir contre chacun des quatre mis en cause dans le cadre de la procédure pénale. L'absence de motivation sur la question des prétentions civiles exclut sa qualité pour recourir sur le fond de la cause pour ces infractions (cf. arrêt 7B_265/2023 du 18 août 2023 consid. 1.3).</w:t>
      </w:r>
    </w:p>
    <w:p>
      <w:r>
        <w:rPr>
          <w:b/>
        </w:rPr>
        <w:t>E. 2</w:t>
      </w:r>
    </w:p>
    <w:p>
      <w:r>
        <w:t>L'hypothèse visée à l'art. 81 al. 1 let. b ch. 6 LTF n'entre pas non plus en considération dans le cas d'espèce pour établir la qualité pour recourir de la recourante, celle-ci ne soulevant aucun grief en lien avec son droit de porter plainte.</w:t>
      </w:r>
    </w:p>
    <w:p>
      <w:r>
        <w:rPr>
          <w:b/>
        </w:rPr>
        <w:t>E. 3</w:t>
      </w:r>
    </w:p>
    <w:p>
      <w:r>
        <w:t>On ne saurait enfin considérer que sa qualité de recourir devrait être admise en raison d'une éventuelle violation de ses droits de partie équivalent à un déni de justice (cf. ATF 146 IV 76 consid. 2; 141 IV 1 consid. 1.1 in fine). En effet, les griefs invoqués a priori à cet égard - soit le défaut de convocation à une audience et l'absence de prise en compte des enregistrements audiovisuels proposés - ne peuvent pas être séparés du fond puisqu'ils tendent à étayer la version des faits avancée par la recourante.</w:t>
      </w:r>
    </w:p>
    <w:p>
      <w:r>
        <w:rPr>
          <w:b/>
        </w:rPr>
        <w:t>E. 4</w:t>
      </w:r>
    </w:p>
    <w:p>
      <w:r>
        <w:t>L'irrecevabilité manifeste du recours doit dès lors être constatée dans la procédure prévue par l' art. 108 al. 1 let. a LTF . La recourante,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