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358/2024 vom 28. Mai 2024</w:t>
      </w:r>
    </w:p>
    <w:p>
      <w:r>
        <w:t>Bundesgericht, 2024-05-28, FR</w:t>
      </w:r>
    </w:p>
    <w:p>
      <w:r>
        <w:rPr>
          <w:b/>
        </w:rPr>
        <w:t xml:space="preserve">Quelle: </w:t>
      </w:r>
      <w:r>
        <w:t>https://mcp.opencaselaw.ch/entscheid/bger_7B_358_2024</w:t>
      </w:r>
    </w:p>
    <w:p>
      <w:r>
        <w:t>FR: TF 7B 358/2024 du 28 mai 2024</w:t>
      </w:r>
    </w:p>
    <w:p>
      <w:r>
        <w:t>IT: TF 7B 358/2024 del 28 maggio 2024</w:t>
      </w:r>
    </w:p>
    <w:p>
      <w:pPr>
        <w:pStyle w:val="Heading2"/>
      </w:pPr>
      <w:r>
        <w:t>Regeste</w:t>
      </w:r>
    </w:p>
    <w:p>
      <w:r>
        <w:t>Ordonnance de non-entrée en matière; irrecevabilité du recours en matière pénale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d'exposer de manière précise les éléments fondant ses prétentions civiles, notamment en alléguant et en chiffrant le dommage subi (arrêts 7B_342/2024 du 13 mai 2024 consid. 1.1; 7B_41/2022 du 20 mars 2024 consid. 1.2.2).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(arrêts 7B_342/2024 du 13 mai 2024 consid. 1.1; 7B_78/2023 du 15 janvier 2024 consid. 1.2; 7B_120/2022 du 5 octobre 2023 consid. 1.3.1).</w:t>
      </w:r>
    </w:p>
    <w:p>
      <w:r>
        <w:rPr>
          <w:b/>
        </w:rPr>
        <w:t>E. 1.2</w:t>
      </w:r>
    </w:p>
    <w:p>
      <w:r>
        <w:t>En l'espèce, la recourante ne consacre dans son acte de recours aucun développement aux prétentions civiles qu'elle entend faire valoir, par adhésion au procès pénal, envers B.________, contre laquelle elle a porté plainte pour violation de la loi fédérale du 25 septembre 2020 sur la protection des données (LPD; RS 235.1), violation du domaine secret ou du domaine privé au moyen d'un appareil de prise de vues (art. 179 quater CP), diffamation ( art. 173 CP ) et calomnie ( art. 174 CP ). De telles prétentions ne peuvent en outre pas être déduites de la nature de ces infractions. La recourante ne démontre ainsi pas avoir la qualité pour recourir sur le fond en application de l'art. 81 al. 1 let. b ch. 5 LTF.</w:t>
      </w:r>
    </w:p>
    <w:p>
      <w:r>
        <w:rPr>
          <w:b/>
        </w:rPr>
        <w:t>E. 2</w:t>
      </w:r>
    </w:p>
    <w:p>
      <w:r>
        <w:t>La recourante ne soulève au surplus aucun grief quant à son droit de porter plainte au sens de l'art. 81 al. 1 let. b ch. 6 LTF, ni n'invoque une violation de ses droits de partie équivalant à un déni de justice formel (cf. ATF 146 IV 76 consid. 2).</w:t>
      </w:r>
    </w:p>
    <w:p>
      <w:r>
        <w:rPr>
          <w:b/>
        </w:rPr>
        <w:t>E. 3</w:t>
      </w:r>
    </w:p>
    <w:p>
      <w:r>
        <w:t>L'irrecevabilité manifeste du recours doit dès lors être constatée dans la procédure simplifiée prévue par l' art. 108 al. 1 let. a LTF . Comme le recours était d'emblée dénué de chances de succès, la demande d'assistance judiciaire doit être rejetée ( art. 64 al. 1 LTF ), ce qui relève également de la compétence du juge unique prévu par l' art. 108 LTF ( art. 64 al. 3 2 e phrase LTF; arrêt 7B_177/2024 du 8 mai 2024 consid. 3.2). La recourante, qui succombe, supportera les frais judiciaires; ceux-ci seront toutefois fixés en tenant compte de sa situation financière, laquelle n'apparaît pas favorable ( art. 65 al. 2 LTF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