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7B_357/2026 vom 28. Mai 2026</w:t>
      </w:r>
    </w:p>
    <w:p>
      <w:r>
        <w:t>Bundesgericht, 2026-05-28, DE</w:t>
      </w:r>
    </w:p>
    <w:p>
      <w:r>
        <w:rPr>
          <w:b/>
        </w:rPr>
        <w:t xml:space="preserve">Quelle: </w:t>
      </w:r>
      <w:r>
        <w:t>https://mcp.opencaselaw.ch/entscheid/bger_7B_357_2026</w:t>
      </w:r>
    </w:p>
    <w:p>
      <w:r>
        <w:t>FR: TF 7B_357/2026 du 28 mai 2026</w:t>
      </w:r>
    </w:p>
    <w:p>
      <w:r>
        <w:t>IT: TF 7B_357/2026 del 28 maggio 2026</w:t>
      </w:r>
    </w:p>
    <w:p>
      <w:pPr>
        <w:pStyle w:val="Heading2"/>
      </w:pPr>
      <w:r>
        <w:t>Erwägungen</w:t>
      </w:r>
    </w:p>
    <w:p>
      <w:r>
        <w:rPr>
          <w:b/>
        </w:rPr>
        <w:t>E. 1</w:t>
      </w:r>
    </w:p>
    <w:p>
      <w:r>
        <w:t>Mit Beschluss vom 10. Februar 2026 wie das Obergericht des Kantons Bern das Gesuch der Beschwerdeführerin um Wiederherstellung der Frist vom 25. Mai 2025 ab und wies deren Beschwerde gegen die Nichtanhandnahmeverfügung der Regionalen Staatsanwaltschaft Bern-Mittelland vom 20. März 2025 ab, soweit es darauf eintrat. Die Beschwerdeführerin gelangte dagegen mit Beschwerde in Strafsachen vom 16. März 2026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da namentlich ein Zivilanspruch im Sinne von Art. 81 Abs. 1 lit. b Ziff. 5 BGG, der die Beschwerdeführerin zur Beschwerde in Strafsachen legitimieren könnte, nicht hinreichend dargelegt wird (vgl. zu den diesbezüglichen Anforderungen Urteile 7B_415/2024 vom 24. März 2026 E. 2.2; 7B_182/2024 vom 26. März 2024 E. 2.1.2; 7B_18/2024 vom 14. März 2024 E. 2; je mit Hinweisen). Formelle Rügen, zu deren Geltendmachung die Beschwerdeführerin unbesehen der fehlenden Beschwerdelegitimation berechtigt wäre, da sie namentlich von der Prüfung der Sache getrennt werden können und die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