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7B_352/2026 vom 1. Mai 2026</w:t>
      </w:r>
    </w:p>
    <w:p>
      <w:r>
        <w:t>Bundesgericht, 2026-05-01, DE</w:t>
      </w:r>
    </w:p>
    <w:p>
      <w:r>
        <w:rPr>
          <w:b/>
        </w:rPr>
        <w:t xml:space="preserve">Quelle: </w:t>
      </w:r>
      <w:r>
        <w:t>https://mcp.opencaselaw.ch/entscheid/bger_7B_352_2026</w:t>
      </w:r>
    </w:p>
    <w:p>
      <w:r>
        <w:t>FR: TF 7B_352/2026 du 1 mai 2026</w:t>
      </w:r>
    </w:p>
    <w:p>
      <w:r>
        <w:t>IT: TF 7B_352/2026 del 1 maggio 2026</w:t>
      </w:r>
    </w:p>
    <w:p>
      <w:pPr>
        <w:pStyle w:val="Heading2"/>
      </w:pPr>
      <w:r>
        <w:t>Erwägungen</w:t>
      </w:r>
    </w:p>
    <w:p>
      <w:r>
        <w:rPr>
          <w:b/>
        </w:rPr>
        <w:t>E. 1</w:t>
      </w:r>
    </w:p>
    <w:p>
      <w:r>
        <w:t>Mit Eingabe vom 16. März 2026 (Postaufgabe) führt A.________ Beschwerde in Strafsachen gegen den Beschluss des Kantonsgerichts Luzern vom 10. Februar 2026 betreffend Akteneinsicht und unentgeltliche Rechtspflege.</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hat ausführlich begründet, weshalb dem Beschwerdeführer weder eine Stellung als geschädigte Person noch als Privatkläger zukommt und weshalb ihm kein Anspruch auf Akteneinsicht sowie auf unentgeltliche Rechtspflege zusteht. Der Beschwerdeführer bringt vor Bundesgericht im Wesentlichen vor, die vorinstanzliche Beurteilung erscheine "aus seiner Sicht unzutreffend", schildert seine persönliche Beziehung zur verstorbenen Person sowie seine emotionale Betroffenheit und verweist auf seine Mitwirkung in den letzten Tagen vor deren Tod. Damit beschränkt er sich jedoch auf eine eigene Darstellung der tatsächlichen Verhältnisse und auf eine pauschale Kritik am angefochtenen Entscheid. Er legt nicht dar, inwiefern die Vorinstanz mit ihrer rechtlichen Würdigung Bundesrecht verletzt haben soll. Insbesondere setzt er sich nicht substanziiert mit den vorinstanzlichen Erwägungen zu den Voraussetzungen der Stellung als geschädigte Person, als Angehöriger oder als Dritter auseinander und zeigt nicht auf, weshalb deren Auslegung der massgebenden Bestimmungen der Strafprozessordnung bundesrechtswidrig sein soll. Soweit er geltend macht, er habe eine enge persönliche Beziehung zur verstorbenen Person gehabt und sei durch deren Tod stark betroffen, vermag dies für sich allein keine hinreichende Begründung einer Rechtsverletzung darzustellen. Gleiches gilt für seine Hinweise auf seine Mitwirkung im Behandlungskontext, zumal er nicht aufzeigt, inwiefern daraus rechtlich ein Anspruch auf Akteneinsicht oder unentgeltliche Rechtspflege folgen soll (vgl. E. 2 hiervor). Auf die Beschwerde ist somit mangels hinreichender Begründung im vereinfachten Verfahren nicht einzutreten ( Art. 108 Abs. 1 BGG ).</w:t>
      </w:r>
    </w:p>
    <w:p>
      <w:r>
        <w:rPr>
          <w:b/>
        </w:rPr>
        <w:t>E. 4</w:t>
      </w:r>
    </w:p>
    <w:p>
      <w:r>
        <w:t>Bei diesem Ausgang des Verfahrens wird der Beschwerdeführer kostenpflichtig ( Art. 66 Abs. 1 BGG ). Sein Gesuch um unentgeltliche Rechtspflege ist abzuweisen, da die Beschwerde von vornherein aussichtslos war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