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34/2022 vom 18. Juli 2023</w:t>
      </w:r>
    </w:p>
    <w:p>
      <w:r>
        <w:t>Bundesgericht, 2023-07-18, FR</w:t>
      </w:r>
    </w:p>
    <w:p>
      <w:r>
        <w:rPr>
          <w:b/>
        </w:rPr>
        <w:t xml:space="preserve">Quelle: </w:t>
      </w:r>
      <w:r>
        <w:t>https://mcp.opencaselaw.ch/entscheid/bger_7B_34_2022</w:t>
      </w:r>
    </w:p>
    <w:p>
      <w:r>
        <w:t>FR: TF 7B 34/2022 du 18 juillet 2023</w:t>
      </w:r>
    </w:p>
    <w:p>
      <w:r>
        <w:t>IT: TF 7B 34/2022 del 18 luglio 2023</w:t>
      </w:r>
    </w:p>
    <w:p>
      <w:pPr>
        <w:pStyle w:val="Heading2"/>
      </w:pPr>
      <w:r>
        <w:t>Regeste</w:t>
      </w:r>
    </w:p>
    <w:p>
      <w:r>
        <w:t>Ordonnance de non-entrée en matière | Procédure pénale</w:t>
      </w:r>
    </w:p>
    <w:p>
      <w:pPr>
        <w:pStyle w:val="Heading2"/>
      </w:pPr>
      <w:r>
        <w:t>Erwägungen</w:t>
      </w:r>
    </w:p>
    <w:p>
      <w:r>
        <w:rPr>
          <w:b/>
        </w:rPr>
        <w:t>E. 1.1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rPr>
          <w:b/>
        </w:rPr>
        <w:t>E. 1.2</w:t>
      </w:r>
    </w:p>
    <w:p>
      <w:r>
        <w:t>En l'espèce, l'arrêt attaqué a été notifié au recourant le vendredi 2 septembre 2022, si bien que le délai de recours de trente jours contre cette décision est arrivé à échéance le lundi 3 octobre 2022. Remis à la Poste suisse le 21 septembre 2022, le recours a été déposé à temps; il en va de même du complément adressé le 3 octobre 2022. En revanche, les nombreuses écritures que le recourant a envoyé au Tribunal fédéral postérieurement à cette dernière date sont tardives et partant irrecevables.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revient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Si la partie plaignante invoque des infractions distinctes, a fortiori commises par plusieurs personnes, elle doit mentionner par rapport à chacune d'elles en quoi consiste son dommage (arrêts 6B_801/2023 du 26 juin 2023 consid. 2.1; 6B_373/2023 du 26 avril 2023 consid. 2.1; 6B_176/2022 du 3 mars 2023 consid. 4).</w:t>
      </w:r>
    </w:p>
    <w:p>
      <w:r>
        <w:rPr>
          <w:b/>
        </w:rPr>
        <w:t>E. 2.2.1</w:t>
      </w:r>
    </w:p>
    <w:p>
      <w:r>
        <w:t>En l'espèce, le recourant se limite à exposer librement les difficultés qu'il prétend avoir rencontrées eu égard à des avocats "peu scrupuleux", qui l'auraient "spolié", ainsi qu'à des magistrats qui auraient "abusé de leurs pouvoirs pour condamner injustement des citoyens indésirables". Évoquant également le trouble bipolaire dont il serait atteint, il explique par ailleurs que, "malgré les menaces de coalition", il refuse de quitter son appartement pour aller dans un "centre d'accueil". Cela étant observé, le recourant ne s'exprime ni sur le principe ni sur la quotité d'un éventuel tort moral ou dommage qu'il aurait subi en raison des infractions dénoncées dans sa plainte du 27 juin 2022. L'absence d'explications sur la question des prétentions civiles exclut sa qualité pour recourir sur le fond de la cause, si bien que son recours est irrecevable à ce titre.</w:t>
      </w:r>
    </w:p>
    <w:p>
      <w:r>
        <w:rPr>
          <w:b/>
        </w:rPr>
        <w:t>E. 2.2.2</w:t>
      </w:r>
    </w:p>
    <w:p>
      <w:r>
        <w:t>Pour le surplus, on rappellera que l'objet du litige est circonscrit par l'arrêt attaqué à l'examen de la plainte déposée par le recourant le 27 juin 2022. Les critiques du recourant ne peuvent porter que sur ce point, également sous peine d'irrecevabilité (cf. art. 80 al. 1 LTF ).</w:t>
      </w:r>
    </w:p>
    <w:p>
      <w:r>
        <w:rPr>
          <w:b/>
        </w:rPr>
        <w:t>E. 2.3</w:t>
      </w:r>
    </w:p>
    <w:p>
      <w:r>
        <w:t>L'hypothèse visée à l'art. 81 al. 1 let. b ch. 6 LTF n'entre pas non plus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pas le cas en l'espèce, le recourant ne présentant aucun grief susceptible d'être examiné à ce titre.</w:t>
      </w:r>
    </w:p>
    <w:p>
      <w:r>
        <w:rPr>
          <w:b/>
        </w:rPr>
        <w:t>E. 3</w:t>
      </w:r>
    </w:p>
    <w:p>
      <w:r>
        <w:t>Dès lors, faute de satisfaire aux conditions de recevabilité d'un recours en matière pénale au Tribunal fédéral (art. 42 al. 1 et 2 et 106 al. 2 LTF), le recours doit être écarté en application de l' art. 108 al. 1 let. a et b LTF . Le recourant, qui succombe, supportera les frais judiciaires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