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7B_345/2025 vom 13. Mai 2025</w:t>
      </w:r>
    </w:p>
    <w:p>
      <w:r>
        <w:t>Bundesgericht, 2025-05-13, DE</w:t>
      </w:r>
    </w:p>
    <w:p>
      <w:r>
        <w:rPr>
          <w:b/>
        </w:rPr>
        <w:t xml:space="preserve">Quelle: </w:t>
      </w:r>
      <w:r>
        <w:t>https://mcp.opencaselaw.ch/entscheid/bger_7B_345_2025</w:t>
      </w:r>
    </w:p>
    <w:p>
      <w:r>
        <w:t>FR: TF 7B_345/2025 du 13 mai 2025</w:t>
      </w:r>
    </w:p>
    <w:p>
      <w:r>
        <w:t>IT: TF 7B_345/2025 del 13 maggio 2025</w:t>
      </w:r>
    </w:p>
    <w:p>
      <w:pPr>
        <w:pStyle w:val="Heading2"/>
      </w:pPr>
      <w:r>
        <w:t>Erwägungen</w:t>
      </w:r>
    </w:p>
    <w:p>
      <w:r>
        <w:rPr>
          <w:b/>
        </w:rPr>
        <w:t>E. 1</w:t>
      </w:r>
    </w:p>
    <w:p>
      <w:r>
        <w:t>Bei der Beschwerdekammer in Strafsachen des Obergerichts des Kantons Bern ist ein Beschwerdeverfahren betreffend Nichtanhandnahmeverfügung der Regionalen Staatsanwaltschaft Berner Jura-Seeland vom 15. Januar 2025 hängig. A.A.________ und B.A.________ stellten am 11. Februar 2025 sinngemäss ein Ausstandsgesuch gegen Oberrichter Jürg Bähler. In seiner Stellungnahme vom 12. Februar 2025 beantragte Jürg Bähler die Abweisung des Ausstandsgesuchs. Mit Beschluss vom 18. März 2025 wies die 2. Strafkammer des Obergerichts das Ausstandsgesuch ab. Mit Eingabe vom 17. April 2025 führen A.A.________ und B.A.________ Beschwerde in Strafsachen an das Bundesgericht und beantragen die Aufhebung des Beschlusses vom 18. März 2025.</w:t>
      </w:r>
    </w:p>
    <w:p>
      <w:r>
        <w:rPr>
          <w:b/>
        </w:rPr>
        <w:t>E. 2</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Beschwerdeführenden beantragen vorab eine Wiederherstellung der Frist, da der Beschluss vom 18. März 2025 ihnen erst am 21. März 2025 zugestellt worden sei. Die am 17. April 2025 erhobene Beschwerde in Strafsachen erweist sich indes als rechtzeitig (vgl. Art. 44 f. BGG), weshalb sich der Antrag um Wiederherstellung der Frist erübrigt.</w:t>
      </w:r>
    </w:p>
    <w:p>
      <w:r>
        <w:rPr>
          <w:b/>
        </w:rPr>
        <w:t>E. 4</w:t>
      </w:r>
    </w:p>
    <w:p>
      <w:r>
        <w:t>Die Beschwerdeführenden setzen sich mit dem angefochtenen Entscheid der Vorinstanz nicht sachgerecht auseinander. Sie legen nicht dar, inwiefern der angefochtene Entscheid bzw. die Begründung der Vorinstanz, weshalb sie das Ausstandsgesuch abgewiesen hat, Bundesrecht verletzt. Daran ändern ihre Ausführungen, wonach der Richter hinsichtlich ihres Antrags auf Erlass der Prozesskosten unbegründete und unmögliche Forderungen gestellt habe und zudem in einem anderen Fall das Gesuch schon einmal abgewiesen habe, nichts. Auf die Beschwerde ist daher wegen Verletzung der Begründungspflicht nicht einzutreten, und zwar, da der Begründungsmangel offensichtlich ist, im vereinfachten Verfahren nach Art. 108 BGG .</w:t>
      </w:r>
    </w:p>
    <w:p>
      <w:r>
        <w:rPr>
          <w:b/>
        </w:rPr>
        <w:t>E. 5</w:t>
      </w:r>
    </w:p>
    <w:p>
      <w:r>
        <w:t>Bei diesem Ausgang des Verfahrens werden die Beschwerdeführenden kostenpflichtig ( Art. 66 Abs. 1 und Abs. 5 BGG ). Ihr Gesuch um unentgeltliche Rechtspflege und Verbeiständung ist wegen Aussichtslosigkeit der Rechtsbegehren ( Art. 64 Abs. 1 BGG ) abzuweisen. Der finanziellen Lage der Beschwerdeführenden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