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7B_344/2023 vom 7. September 2023</w:t>
      </w:r>
    </w:p>
    <w:p>
      <w:r>
        <w:t>Bundesgericht, 2023-09-07, DE</w:t>
      </w:r>
    </w:p>
    <w:p>
      <w:r>
        <w:rPr>
          <w:b/>
        </w:rPr>
        <w:t xml:space="preserve">Quelle: </w:t>
      </w:r>
      <w:r>
        <w:t>https://mcp.opencaselaw.ch/entscheid/bger_7B_344_2023</w:t>
      </w:r>
    </w:p>
    <w:p>
      <w:r>
        <w:t>FR: TF 7B_344/2023 du 7 septembre 2023</w:t>
      </w:r>
    </w:p>
    <w:p>
      <w:r>
        <w:t>IT: TF 7B_344/2023 del 7 settembre 2023</w:t>
      </w:r>
    </w:p>
    <w:p>
      <w:pPr>
        <w:pStyle w:val="Heading2"/>
      </w:pPr>
      <w:r>
        <w:t>Erwägungen</w:t>
      </w:r>
    </w:p>
    <w:p>
      <w:r>
        <w:rPr>
          <w:b/>
        </w:rPr>
        <w:t>E. 1.1</w:t>
      </w:r>
    </w:p>
    <w:p>
      <w:r>
        <w:t>Angefochten ist ein Endentscheid ( Art. 90 BGG ) über den Vollzug einer Massnahme ( Art. 78 Abs. 2 lit. b BGG ) einer letzten kantonalen Instanz, die als oberes Gericht auf ein Rechtsmittel hin ( Art. 80 BGG ) geurteilt hat. Der Beschwerdeführer ist zur Beschwerde legitimiert ( Art. 81 Abs. 1 lit. a und lit. b BGG ) und hat die Beschwerdefrist eingehalten ( Art. 100 Abs. 1 BGG ).</w:t>
      </w:r>
    </w:p>
    <w:p>
      <w:r>
        <w:rPr>
          <w:b/>
        </w:rPr>
        <w:t>E. 1.2</w:t>
      </w:r>
    </w:p>
    <w:p>
      <w:r>
        <w:t>Gemäss Art. 42 Abs. 2 BGG ist in der Beschwerdebegründung in gedrängter Form darzulegen, inwiefern der angefochtene Entscheid Recht verletzt, wobei für die Anfechtung des Sachverhalts sowie die Geltendmachung von Grundrechtsverletzungen qualifizierte Begründungsanforderungen gelten (vgl. Art. 97 Abs. 1 und Art. 106 Abs. 2 BGG ). Um den Begründungsanforderungen zu genügen, muss die beschwerdeführende Partei mit ihrer Kritik bei den als rechtsfehlerhaft erachteten Erwägungen der Vorinstanz ansetzen ( BGE 148 IV 205 E. 2.6; 146 IV 297 E. 1.2). Das bedeutet, dass die Rechtsschrift auf den angefochtenen Entscheid und seine Begründung Bezug nehmen und sich damit auseinandersetzen muss ( BGE 140 III 86 E. 2; Urteile 7B_183/2023 vom 26. Juli 2023 E. 1.3; 6B_1500/2021 vom 13. Januar 2023 E. 2.1; je mit Hinweisen). Auf ungenügend begründete Rügen oder allgemein gehaltene appellatorische Kritik am angefochtenen Urteil tritt das Bundesgericht nicht ein ( BGE 148 IV 356 E. 2.1; 147 IV 73 E. 4.1.2).</w:t>
      </w:r>
    </w:p>
    <w:p>
      <w:r>
        <w:rPr>
          <w:b/>
        </w:rPr>
        <w:t>E. 2</w:t>
      </w:r>
    </w:p>
    <w:p>
      <w:r>
        <w:t>Der Beschwerdeführer rügt eine Verletzung seines rechtlichen Gehörs, weil die Vorinstanz nicht angegeben habe, welche gesetzlichen Bestimmungen sie geprüft habe, um die Höhe der Genugtuung zu bestimmen. Weiter liege Willkür vor, weil die Vorinstanz die Höhe der Genugtuung "nicht sachgerecht" begründe.</w:t>
      </w:r>
    </w:p>
    <w:p>
      <w:r>
        <w:t>Die Rügen gehen fehl: In E. 14 des angefochtenen Beschlusses äussert sich die Vorinstanz einlässlich und nachvollziehbar zur Höhe der Genugtuung. Ein Verstoss gegen das Willkürverbot liegt nicht vor, geschweige denn eine Verletzung der gehörsrechtlichen Begründungspflicht.</w:t>
      </w:r>
    </w:p>
    <w:p>
      <w:r>
        <w:rPr>
          <w:b/>
        </w:rPr>
        <w:t>E. 3</w:t>
      </w:r>
    </w:p>
    <w:p>
      <w:r>
        <w:t>Weiter moniert der Beschwerdeführer unter dem Titel "Verletzung von Art. 164 BV sowie von Art. 69 Abs. 4 KV/BE [SR 131.212] i.V.m. Art. 9 BV sowie von Art. 68 EGZSJ/BE [Einführungsgesetz vom 11. Juni 2009 zur Zivilprozessordnung, zur Strafprozessordnung und zur Jugendstrafprozessordnung; BSG 271.1] i.V.m. Art. 9 BV sowie Art. 103 Abs. 2 VRPG/BE i.V.m. Art. 9 BV " eine Verletzung des abgaberechtlichen Legalitätsprinzips.</w:t>
      </w:r>
    </w:p>
    <w:p>
      <w:r>
        <w:t>Mit der diesbezüglich pertinenten, ausführlichen E. 18 des angefochtenen Beschluss setzt er sich in der Beschwerde aber nicht auseinander. Die Rüge verfehlt die strengen Begründungsanforderungen nach Art. 106 Abs. 2 BGG .</w:t>
      </w:r>
    </w:p>
    <w:p>
      <w:r>
        <w:rPr>
          <w:b/>
        </w:rPr>
        <w:t>E. 4</w:t>
      </w:r>
    </w:p>
    <w:p>
      <w:r>
        <w:t>Schliesslich rügt der Beschwerdeführer, es sei willkürlich, wenn die Vorinstanz ihm auch die Kosten des Neubeurteilungsverfahrens zur Hälfte auferlege.</w:t>
      </w:r>
    </w:p>
    <w:p>
      <w:r>
        <w:t>Auch auf diese Rüge ist mangels hinreichender Auseinandersetzung mit der ausführlichen vorinstanzlichen Begründung in E. 22 des angefochtenen Beschlusses nicht weiter einzugehen.</w:t>
      </w:r>
    </w:p>
    <w:p>
      <w:r>
        <w:rPr>
          <w:b/>
        </w:rPr>
        <w:t>E. 5</w:t>
      </w:r>
    </w:p>
    <w:p>
      <w:r>
        <w:t>Im Übrigen ist Anfechtungsobjekt im bundesgerichtlichen Beschwerdeverfahren allein der Beschluss der Vorinstanz vom 9. Juni 2023. Soweit der Beschwerdeführer (erneut) die Aufhebung von Dispositivziffern des Beschlusses vom 18. Juli 2022 verlangt, die bereits Gegenstand des Verfahrens 6B_1068/2022 bildeten (vgl. Sachverhalt B.e), ist darauf nicht einzutreten.</w:t>
      </w:r>
    </w:p>
    <w:p>
      <w:r>
        <w:rPr>
          <w:b/>
        </w:rPr>
        <w:t>E. 6</w:t>
      </w:r>
    </w:p>
    <w:p>
      <w:r>
        <w:t>Die Beschwerde ist abzuweisen, soweit darauf mit Blick auf die nicht erfüllten Begründungsanforderungen überhaupt eingetreten werden kann.</w:t>
      </w:r>
    </w:p>
    <w:p>
      <w:r>
        <w:t>Die Gerichtskosten sind dem Beschwerdeführer aufzuerlegen ( Art. 66 Abs. 1 BGG ). Das Gesuch um unentgeltliche Rechtspflege ist wegen Aussichtslosigkeit abzuweisen ( Art. 64 Abs. 1 BGG ). Den finanziellen Verhältnissen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