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342/2024 vom 13. Mai 2024</w:t>
      </w:r>
    </w:p>
    <w:p>
      <w:r>
        <w:t>Bundesgericht, 2024-05-13, FR</w:t>
      </w:r>
    </w:p>
    <w:p>
      <w:r>
        <w:rPr>
          <w:b/>
        </w:rPr>
        <w:t xml:space="preserve">Quelle: </w:t>
      </w:r>
      <w:r>
        <w:t>https://mcp.opencaselaw.ch/entscheid/bger_7B_342_2024</w:t>
      </w:r>
    </w:p>
    <w:p>
      <w:r>
        <w:t>FR: TF 7B 342/2024 du 13 mai 2024</w:t>
      </w:r>
    </w:p>
    <w:p>
      <w:r>
        <w:t>IT: TF 7B 342/2024 del 13 maggio 2024</w:t>
      </w:r>
    </w:p>
    <w:p>
      <w:pPr>
        <w:pStyle w:val="Heading2"/>
      </w:pPr>
      <w:r>
        <w:t>Regeste</w:t>
      </w:r>
    </w:p>
    <w:p>
      <w:r>
        <w:t>Ordonnance de classement;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7B_78/2023 du 15 janvier 2024 consid. 1.2; 7B_120/2022 du 5 octobre 2023 consid. 1.3.1; 6B_1302/2022 du 3 avril 2023 consid. 1.3; 6B_807/2022 du 2 août 2022 consid. 2).</w:t>
      </w:r>
    </w:p>
    <w:p>
      <w:r>
        <w:rPr>
          <w:b/>
        </w:rPr>
        <w:t>E. 1.2</w:t>
      </w:r>
    </w:p>
    <w:p>
      <w:r>
        <w:t>En l'espèce, le recourant estime qu'en raison des infractions alléguées de diffamation, de calomnie et d'injure, il aurait subi une atteinte illicite à sa personnalité en raison de laquelle il entend réclamer une indemnité pour réparation morale, qu'il chiffre à 9'000 fr. au moins. Il soutient que, par leurs allégations, les prévenus l'auraient fait passer "pour une personne pathétiquement malhonnête en le décrivant comme un tricheur invétéré". Par leurs propos, ces derniers auraient en outre commis un faux dans les titres qui, tendant à son exclusion du club de tennis U.________, porterait atteinte à son droit d'association. Exposant avoir "sévèrement" ressenti de telles atteintes, le recourant indique qu'il aurait souffert d'avoir été décrit publiquement et traité "d'une manière aussi méprisable", ainsi que d'avoir été privé de ses droits de membre du club sportif proche de son domicile. Il aurait subi un "choc émotionnel déclenchant une crise de panique" et une dépression "sévère" justifiant une incapacité de travail de 7 jours.</w:t>
      </w:r>
    </w:p>
    <w:p>
      <w:r>
        <w:rPr>
          <w:b/>
        </w:rPr>
        <w:t>E. 1.3</w:t>
      </w:r>
    </w:p>
    <w:p>
      <w:r>
        <w:t>Ce faisant, le recourant se limite à expliquer que les infractions alléguées auraient provoqué une atteinte subjectivement grave à sa personnalité. Il ne cherche ainsi pas à exposer, par une motivation conforme aux exigences en la matière, en quoi les faits dénoncés auraient causé une atteinte à sa personnalité d'une gravité suffisante d'un point de vue objectif. Il n'explique pas que l'atteinte à sa personnalité serait d'une gravité telle qu'objectivement, elle dépasserait clairement, dans ses effets, la mesure d'un énervement ou d'un souci quotidien (cf. arrêt précité 7B_78/2023 consid. 1.2 et les réf. citées). Il n'indique en particulier pas quels propos ou quels actes seraient concrètement de nature à causer une telle atteinte. En tant que le recourant se réfère pour le surplus à l'infraction alléguée de faux dans les titres, les quelques explications qu'il émet en lien avec l'existence de prétentions civiles qui en découleraient, pour peu qu'elles soient compréhensibles, sont impropres à établir en quoi les faits dénoncés lui auraient causé un quelconque dommage. Sa motivation sur la question des prétentions civiles, manifestement insuffisante, exclut dès lors sa qualité pour recourir sur le fond de la cause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