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7B_33/2023 vom 7. September 2023</w:t>
      </w:r>
    </w:p>
    <w:p>
      <w:r>
        <w:t>Bundesgericht, 2023-09-07, DE</w:t>
      </w:r>
    </w:p>
    <w:p>
      <w:r>
        <w:rPr>
          <w:b/>
        </w:rPr>
        <w:t xml:space="preserve">Quelle: </w:t>
      </w:r>
      <w:r>
        <w:t>https://mcp.opencaselaw.ch/entscheid/bger_7B_33_2023</w:t>
      </w:r>
    </w:p>
    <w:p>
      <w:r>
        <w:t>FR: TF 7B_33/2023 du 7 septembre 2023</w:t>
      </w:r>
    </w:p>
    <w:p>
      <w:r>
        <w:t>IT: TF 7B_33/2023 del 7 settembre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w:t>
      </w:r>
    </w:p>
    <w:p>
      <w:r>
        <w:rPr>
          <w:b/>
        </w:rPr>
        <w:t>E. 1.2</w:t>
      </w:r>
    </w:p>
    <w:p>
      <w:r>
        <w:t>Die Beschwerdeführerin führt in Rz. 4 ihrer Beschwerde einzig aus, dass ihr "durch die Widerhandlungen gegen das UWG [...] Schadenersatzansprüche/Gewinnherausgabeansprüche/Unterlassungs-ansprüche nach Art. 9 Abs. 3 UWG gegen die H.________ GmbH" zustünden. Aus welchem Sachverhalt sich diese Ansprüche ergeben sollen, substanziiert die Beschwerdeführerin aber in keiner Weise. Vielmehr begnügt sie sich damit, unter dem Titel "II. Materielles, 1. Sachverhalt" auf die Strafanzeige, eine ergänzende Eingabe an die Staatsanwaltschaft und ihre Beschwerde gegen die Einstellungsverfügung zu verweisen. Dies genügt den strengen Anforderungen an die Begründung der Legitimationsvoraussetzungen nicht. Abgesehen davon ist die Passivlegitimation der behaupteten Zivilforderungen unklar: In ihrer Beschwerde an das Bundesgericht bezeichnet die Beschwerdeführerin die H.________ GmbH als Schuldnerin, während sich der Strafantrag gegen ehemalige Mitarbeiter der Beschwerdeführerin richtet. Auch diese Unklarheit zeigt, dass es der Beschwerdeführerin nicht gelingt, ihre angeblichen Zivilansprüche hinreichend zu substanziieren.</w:t>
      </w:r>
    </w:p>
    <w:p>
      <w:r>
        <w:rPr>
          <w:b/>
        </w:rPr>
        <w:t>E. 1.3</w:t>
      </w:r>
    </w:p>
    <w:p>
      <w:r>
        <w:t>Formelle Rügen, zu deren Erhebung die Beschwerdeführerin nach der "Star-Praxis" legitimiert wäre ( BGE 146 IV 76 E. 2; 141 IV 1 E. 1.1; je mit Hinweisen), werden in der Beschwerde nicht vorgebracht. Damit ist auf die Beschwerde mangels Beschwerdelegitimation nicht einzutreten.</w:t>
      </w:r>
    </w:p>
    <w:p>
      <w:r>
        <w:rPr>
          <w:b/>
        </w:rPr>
        <w:t>E. 2</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