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7B_337/2025 vom 8. Mai 2025</w:t>
      </w:r>
    </w:p>
    <w:p>
      <w:r>
        <w:t>Bundesgericht, 2025-05-08, FR</w:t>
      </w:r>
    </w:p>
    <w:p>
      <w:r>
        <w:rPr>
          <w:b/>
        </w:rPr>
        <w:t xml:space="preserve">Quelle: </w:t>
      </w:r>
      <w:r>
        <w:t>https://mcp.opencaselaw.ch/entscheid/bger_7B_337_2025</w:t>
      </w:r>
    </w:p>
    <w:p>
      <w:r>
        <w:t>FR: TF 7B_337/2025 du 8 mai 2025</w:t>
      </w:r>
    </w:p>
    <w:p>
      <w:r>
        <w:t>IT: TF 7B_337/2025 del 8 maggio 2025</w:t>
      </w:r>
    </w:p>
    <w:p>
      <w:pPr>
        <w:pStyle w:val="Heading2"/>
      </w:pPr>
      <w:r>
        <w:t>Erwägungen</w:t>
      </w:r>
    </w:p>
    <w:p>
      <w:r>
        <w:rPr>
          <w:b/>
        </w:rPr>
        <w:t>E. 1.1</w:t>
      </w:r>
    </w:p>
    <w:p>
      <w:r>
        <w:t>Le recours en matière pénale (cf. art. 78 al. 1 LTF ) est ouvert contre une décision relative à la détention provisoire ou pour des motifs de sûreté au sens des art. 212 ss CPP . La détention provisoire du recourant repose actuellement sur l'ordonnance du 24 mars 2025 du TMC prolongeant cette mesure jusqu'au 26 juin 2025, notamment en raison de l'existence d'un risque de collusion. Le recourant conserve dès lors un intérêt actuel et pratique à l'examen de ses griefs (cf. art. 81 al. 1 let. b LTF ; ATF 149 I 14 consid. 1.2; 139 I 206 consid. 1.2). En outre, l'arrêt attaqué en tant que décision incidente est propre à lui causer un préjudice irréparable au sens de l' art. 93 al. 1 let. a LTF (arrêts 7B_230/2025 du 11 avril 2025 consid. 1.1; 7B_144/2025 du 24 mars 2025 consid. 1).</w:t>
      </w:r>
    </w:p>
    <w:p>
      <w:r>
        <w:rPr>
          <w:b/>
        </w:rPr>
        <w:t>E. 1.2</w:t>
      </w:r>
    </w:p>
    <w:p>
      <w:r>
        <w:t>Les pièces produites à l'appui des déterminations du 2 mai 2025 - à savoir le courrier du 1er avril 2025 de la mandataire de l'épouse du recourant retirant sa plainte pour viol et le procès-verbal d'audition du 23 avril 2025 - sont irrecevables, étant ultérieures à l'arrêt attaqué (cf. art. 99 al. 1 LTF ).</w:t>
      </w:r>
    </w:p>
    <w:p>
      <w:r>
        <w:rPr>
          <w:b/>
        </w:rPr>
        <w:t>E. 1.3</w:t>
      </w:r>
    </w:p>
    <w:p>
      <w:r>
        <w:t>Pour le surplus, les autres conditions de recevabilité n'appellent aucune considération, de sorte qu'il y a lieu d'entrer en matière dans la mesure précitée.</w:t>
      </w:r>
    </w:p>
    <w:p>
      <w:r>
        <w:rPr>
          <w:b/>
        </w:rPr>
        <w:t>E. 2.1</w:t>
      </w:r>
    </w:p>
    <w:p>
      <w:r>
        <w:t>Le recourant ne conteste pas l'existence de charges suffisantes (cf. art. 221 al. 1 CPP ; cf. consid. 2 p. 10 de l'arrêt attaqué; sur cette notion, voir ATF 143 IV 330 consid. 2.1; arrêt 7B_296/2025 du 23 avril 2025 consid. 4.2).</w:t>
      </w:r>
    </w:p>
    <w:p>
      <w:r>
        <w:t>À cet égard et dans la mesure où le recourant semble soutenir dans son recours que seul le viol qui lui est reproché constituerait une infraction grave, il y a lieu de relever qu'il est prévenu de pas moins de sept chefs d'infractions différents (cf. let. B.b ch. 1 à 7 p. 2 ss de l'arrêt attaqué), dont un crime (cf. art. 10 al. 2 CP et 190 CP) et six délits</w:t>
      </w:r>
    </w:p>
    <w:p>
      <w:r>
        <w:t>(cf. art. 10 al. 3 CP et 177, 180, 181, 219 CP et 33 al. 1 LArm). En outre, la gravité des infractions qui lui sont reprochées ne saurait être niée du seul fait que certaines n'ont pas conduit à des violences physiques proprement dites puisque les biens juridiques protégés par les infractions en cause (cf. en particulier les menaces et la contrainte retenues) comprennent également l'intégrité psychique, dont la protection s'impose d'autant plus quand les victimes sont mineures.</w:t>
      </w:r>
    </w:p>
    <w:p>
      <w:r>
        <w:rPr>
          <w:b/>
        </w:rPr>
        <w:t>E. 2.2</w:t>
      </w:r>
    </w:p>
    <w:p>
      <w:r>
        <w:t>Le recourant ne développe pas non plus d'argumentation visant à remettre en cause le principe de la proportionnalité s'agissant de la durée de la détention avant jugement subie (cf. art. 212 al. 3 CPP ; sur cette notion, voir ATF 145 IV 179 consid. 3.1 et les arrêts cités; arrêt 7B_191/2025 du 28 mars 2025 consid. 5.2).</w:t>
      </w:r>
    </w:p>
    <w:p>
      <w:r>
        <w:rPr>
          <w:b/>
        </w:rPr>
        <w:t>E. 3.1</w:t>
      </w:r>
    </w:p>
    <w:p>
      <w:r>
        <w:t>En revanche, le recourant reproche à l'autorité précédente d'avoir considéré qu'il existait un risque de collusion, respectivement que celui-ci ne pouvait pas être pallié par des mesures de substitution.</w:t>
      </w:r>
    </w:p>
    <w:p>
      <w:r>
        <w:rPr>
          <w:b/>
        </w:rPr>
        <w:t>E. 3.2.1</w:t>
      </w:r>
    </w:p>
    <w:p>
      <w:r>
        <w:t>Selon l' art. 221 al. 1 let. b CPP , la détention provisoire et la détention pour des motifs de sûreté ne peuvent être ordonnées que lorsque le prévenu est fortement soupçonné d'avoir commis un crime ou un délit et qu'il y a sérieusement lieu de craindre qu'il compromette la recherche de la vérité en exerçant une influence sur des personnes ou en altérant des moyens de preuve.</w:t>
      </w:r>
    </w:p>
    <w:p>
      <w:r>
        <w:t>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 ATF 132 I 21 consid. 3.2). Pour retenir l'existence d'un risque de collusion,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 comportement adopté par le prévenu au cours de la procédure, ses caractéristiques personnelles,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 ATF 137 IV 122 consid. 4.2 et l'arrêt cité; arrêts 7B_231/2025 du 2 avril 2025 consid. 4.1; 7B_144/2025 du 24 mars 2025 consid. 4.2.2; 7B_33/2025 du 28 janvier 2025 consid. 6.2 et les arrêts cités).</w:t>
      </w:r>
    </w:p>
    <w:p>
      <w:r>
        <w:rPr>
          <w:b/>
        </w:rPr>
        <w:t>E. 3.2.2</w:t>
      </w:r>
    </w:p>
    <w:p>
      <w:r>
        <w:t>Conformément au principe de la proportionnalité ( art. 36 al. 3 Cst. ), il convient aussi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celle-ci (arrêt 7B_14/2025 du 13 février 2025 consid. 4.1 et les arrêts cités).</w:t>
      </w:r>
    </w:p>
    <w:p>
      <w:r>
        <w:t>Selon l' art. 237 al. 2 CPP , font notamment partie des mesures de substitution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rPr>
          <w:b/>
        </w:rPr>
        <w:t>E. 3.3</w:t>
      </w:r>
    </w:p>
    <w:p>
      <w:r>
        <w:t>La Chambre pénale de recours a relevé que l'épouse ainsi que le fils du recourant avaient été entendus, notamment en confrontation les 17 janvier et 4 février 2025, et que ce dernier contestait l'essentiel des faits dénoncés. Selon la cour cantonale, les deux parties plaignantes avaient cependant, de manière concordante, décrit l'emprise psychologique que le recourant exerçait sur sa famille depuis plusieurs années, ainsi que le rôle qu'il considérait lui revenir vis-à-vis de sa femme et de ses enfants; s'agissant du fils, tout juste majeur, il avait certes dit se sentir soulagé depuis l'arrestation de son père et du fait de son absence du domicile familial, mais pourrait ne plus l'être en cas de libération; quant à l'épouse du recourant, elle n'avait déposé plainte que lorsque son fils avait appelé la police et que son mari avait été emmené, mais ne l'avait pas fait lors des épisodes précédents. L'autorité précédente a ensuite mentionné les velléités du recourant de s'enquérir, depuis la prison, d'éventuels retraits de plainte, ce qui renforçait les craintes d'une collusion, en particulier en ce sens que le recourant contacte son épouse et son fils, à sa sortie, pour obtenir ces retraits; le seul fait que certaines infractions soient poursuivies d'office n'y changeait rien, les faits étant survenus au sein de la famille et leur établissement reposant dès lors principalement sur les déclarations des victimes. La cour cantonale a encore relevé la mise en oeuvre d'une expertise psychiatrique. Elle a en conséquence estimé que le risque de collusion concernant les deux parties plaignantes restait important et concret, notamment sous la forme de pressions de la part du recourant, ce qui pourrait entraver la recherche de la vérité (cf. consid. 3.2 p. 11 de l'arrêt attaqué).</w:t>
      </w:r>
    </w:p>
    <w:p>
      <w:r>
        <w:rPr>
          <w:b/>
        </w:rPr>
        <w:t>E. 3.4.1</w:t>
      </w:r>
    </w:p>
    <w:p>
      <w:r>
        <w:t>Ce raisonnement ne prête en l'état pas le flanc à la critique et le recourant, qui reprend une grande partie des arguments avancés devant l'autorité précédente, ne développe aucune argumentation propre à le remettre en cause (cf. p. 5 ss du recours en lien avec les p. 6 ss du recours cantonal).</w:t>
      </w:r>
    </w:p>
    <w:p>
      <w:r>
        <w:t>En particulier, un danger de collusion apparaît d'autant plus concret en l'espèce que le recourant ne remet pas en cause, de manière conforme à ses obligations en matière de motivation, les constatations de la cour cantonale relatives à sa tentative d'obtenir des informations par le biais de sa mère sur d'éventuels retraits de plainte, ce qui suffit d'ailleurs pour considérer qu'en l'état, une interdiction de contact avec certaines personnes - fondée au demeurant uniquement sur la volonté du recourant de s'y soumettre - est insuffisante pour écarter tout risque à cet égard. Dans son recours ne figure pas non plus d'argumentation visant à remettre en cause l'ascendant psychologique exercé sur sa famille - qu'il semble d'ailleurs considérer comme légitime du fait de sa position - et le climat de peur en découlant. Un tel sentiment paraît d'ailleurs avoir été enduré pendant près de cinq ans par les membres de sa famille avant que la police soit appelée à l'aide par le fils aîné, devenu majeur. On ne saurait en outre ignorer que l'instruction porte également sur des infractions qui pourraient avoir été commises contre des enfants mineurs, soit des personnes d'autant plus vulnérables à des pressions que pourrait leur faire subir le recourant en cas de libération, notamment en se prévalant de son statut au sein de la famille et de leur loyauté, cela afin d'influencer la procédure ou les déclarations de leur mère ou de leur frère aîné. Toute pression afin d'orienter les propos de ces derniers en lien avec les autres interventions de la police - dont les rapports ont été requis - ne peut pas non plus être d'emblée écartée, dès lors que les parties ne paraissent pas avoir été entendues sur celles-ci.</w:t>
      </w:r>
    </w:p>
    <w:p>
      <w:r>
        <w:t>Au regard des éléments précités, qui confirment au jour de l'arrêt attaqué l'existence d'un danger de collusion actuel et concret, il importe peu de savoir si l'expertise psychiatrique qui a été ordonnée viendrait étayer le maintien en détention provisoire en raison d'un tel danger; elle ne paraît en tout état de cause pas inutile en vue d'évaluer la dangerosité du recourant eu égard au risque de réitération qui pourrait également entrer en considération dans le cas d'espèce (cf. les ordonnances du TMC du 28 décembre 2024, du 24 janvier 2025 et du 11 février 2025), motif que le Ministère public ne manquera pas d'étayer, le cas échéant, dans une éventuelle prochaine requête de prolongation de la détention provisoire. On ne saurait au demeurant écarter toute possibilité que les mesures ou suivis qui pourraient être proposés en fonction du diagnostic qui serait retenu ne seraient pas à même de permettre au recourant de réduire sa consommation de stupéfiants, dont il reconnaît qu'elle est à l'origine de ses comportements (cf. en particulier p. 8 du recours et p. 2 s. des observations du 2 mai 2025), ou d'entamer une réflexion en lien avec son rôle au sein de sa famille, ce qui pourrait peut-être, à moyen ou à long terme, apporter certaines garanties quant au comportement que le recourant pourrait adopter à l'avenir. Faute de toute information ou de tout document, on ne saurait d'ailleurs retenir que le traitement commencé en détention provisoire - au demeurant d'une nature et d'une durée inconnues - permettrait d'envisager que de tels résultats seraient déjà atteints (cf. arrêt 1B_602/2022 du 13 décembre 2022 consid. 2.3) et que ce suivi constituerait dès lors une mesure de substitution adéquate.</w:t>
      </w:r>
    </w:p>
    <w:p>
      <w:r>
        <w:rPr>
          <w:b/>
        </w:rPr>
        <w:t>E. 3.4.2</w:t>
      </w:r>
    </w:p>
    <w:p>
      <w:r>
        <w:t>Vu les considérations qui précédent et dans la mesure où le motif de détention provisoire retenu par l'autorité cantonale ne prête pas le flanc à la critique, il n'y a pas lieu d'examiner la violation du principe de la célérité invoquée en lien avec l'absence d'examen par celle-ci des autres motifs de détention avant jugement retenus par le TMC.</w:t>
      </w:r>
    </w:p>
    <w:p>
      <w:r>
        <w:rPr>
          <w:b/>
        </w:rPr>
        <w:t>E. 4</w:t>
      </w:r>
    </w:p>
    <w:p>
      <w:r>
        <w:t>Il s'ensuit que le recours doit être rejeté dans la mesure où il est recevable.</w:t>
      </w:r>
    </w:p>
    <w:p>
      <w:r>
        <w:t>Le recourant a sollicité l'octroi de l'assistance judiciaire (cf. art. 64 al. 1 LTF ). Les conditions y relatives étant réunies, il y a lieu d'admettre cette requête, de désigner Me Samir Djaziri en tant qu'avocat d'office du recourant pour la procédure fédérale et de lui allouer une indemnité à titre d'honoraires, qui seront supportés par la caisse du Tribunal fédéral. Le recourant est toutefois rendu attentif au fait qu'il devra rembourser la caisse du Tribunal fédéral s'il retrouve ultérieurement une situation financière lui permettant de le faire</w:t>
      </w:r>
    </w:p>
    <w:p>
      <w:r>
        <w:t>(cf. art. 64 al. 4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