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7B_330/2023 vom 11. April 2024</w:t>
      </w:r>
    </w:p>
    <w:p>
      <w:r>
        <w:t>Bundesgericht, 2024-04-11, DE</w:t>
      </w:r>
    </w:p>
    <w:p>
      <w:r>
        <w:rPr>
          <w:b/>
        </w:rPr>
        <w:t xml:space="preserve">Quelle: </w:t>
      </w:r>
      <w:r>
        <w:t>https://mcp.opencaselaw.ch/entscheid/bger_7B_330_2023</w:t>
      </w:r>
    </w:p>
    <w:p>
      <w:r>
        <w:t>FR: TF 7B_330/2023 du 11 avril 2024</w:t>
      </w:r>
    </w:p>
    <w:p>
      <w:r>
        <w:t>IT: TF 7B_330/2023 del 11 aprile 2024</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Der angefochtene Entscheid betreffend eine Sistierung schliesst das Strafverfahren nicht ab. Richtet sich eine Beschwerde gegen einen solchen Entscheid und macht der Beschwerdeführer keine Verletzung des Beschleunigungsgebots (formelle Rechtsverweigerung oder Verweigerung eines Entscheids) geltend, sondern die Verletzung anderer verfassungsmässiger Rechte im Zusammenhang mit der Anwendung des Strafverfahrensrechts, so muss die Eintretensvoraussetzung von Art. 93 Abs. 1 lit. a BGG , d.h. die Möglichkeit eines nicht wieder gutzumachenden Nachteils, erfüllt sein ( BGE 143 IV 175 E. 2; 134 IV 43 E. 2). Dabei muss es sich um einen Nachteil rechtlicher Natur handeln, der auch durch einen für die beschwerdeführende Partei günstigen Entscheid in der Zukunft nicht mehr behoben werden kann. Rein tatsächliche Nachteile wie die Verlängerung oder Verteuerung des Verfahrens reichen nicht aus ( BGE 148 IV 155 E. 1.1; 144 III 475 E. 1.2 mit Hinweisen). Es obliegt der beschwerdeführenden Partei darzutun, dass die Voraussetzungen von Art. 93 Abs. 1 BGG erfüllt sind, soweit deren Vorliegen nicht offensichtlich in die Augen springt ( BGE 141 III 80 E. 1.2; 138 III 46 E. 1.2).</w:t>
      </w:r>
    </w:p>
    <w:p>
      <w:r>
        <w:rPr>
          <w:b/>
        </w:rPr>
        <w:t>E. 1.2</w:t>
      </w:r>
    </w:p>
    <w:p>
      <w:r>
        <w:t>Der Beschwerdeführer macht keine Verletzung des Beschleunigungsgebots geltend, womit es ihm obliegt, darzutun, dass die Voraussetzungen von Art. 93 Abs. 1 BGG erfüllt sind. Den durch den angefochtenen Entscheid drohenden nicht wieder gutzumachenden Nachteil sieht er "im Verlust einer Instanz, also in der Verletzung der Rechtsweggarantie"; durch das "Absehen von einer Rückweisung an die erste Instanz" sei "keine umfassende Prüfung der Anklage durch zwei Instanzen mit voller Kognition mehr möglich, wie es Art. 32 Abs. 3 BV garantiert". Mit diesen Vorbringen tut der Beschwerdeführer aber keineswegs einen Nachteil dar, der auch durch einen für ihn günstigen Entscheid in der Zukunft nicht mehr behoben werden könnte: Das vorinstanzliche Vorgehen lässt die Möglichkeit eines Freispruchs vielmehr ohne Weiteres offen, womit auch ein möglicher Verstoss gegen Art. 32 Abs. 3 BV unschädlich bliebe. Abgesehen davon bleibt es dem Beschwerdeführer unbenommen, diese Rüge gegen einen für ihn allenfalls nachteiligen Berufungsendentscheid noch vorzubringen. Auf die Beschwerde ist mangels nicht wieder gutzumachenden Nachteils nicht einzutreten.</w:t>
      </w:r>
    </w:p>
    <w:p>
      <w:r>
        <w:rPr>
          <w:b/>
        </w:rPr>
        <w:t>E. 2</w:t>
      </w:r>
    </w:p>
    <w:p>
      <w:r>
        <w:t>Die Beschwerde erweist sich als unzulässig.</w:t>
      </w:r>
    </w:p>
    <w:p>
      <w:r>
        <w:t>Da sie von vornherein aussichtslos war, ist das Gesuch um unentgeltliche Rechtspflege ist abzuweisen ( Art. 64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