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7B_325/2025 vom 11. April 2025</w:t>
      </w:r>
    </w:p>
    <w:p>
      <w:r>
        <w:t>Bundesgericht, 2025-04-11, DE</w:t>
      </w:r>
    </w:p>
    <w:p>
      <w:r>
        <w:rPr>
          <w:b/>
        </w:rPr>
        <w:t xml:space="preserve">Quelle: </w:t>
      </w:r>
      <w:r>
        <w:t>https://mcp.opencaselaw.ch/entscheid/bger_7B_325_2025</w:t>
      </w:r>
    </w:p>
    <w:p>
      <w:r>
        <w:t>FR: TF 7B_325/2025 du 11 avril 2025</w:t>
      </w:r>
    </w:p>
    <w:p>
      <w:r>
        <w:t>IT: TF 7B_325/2025 del 11 aprile 2025</w:t>
      </w:r>
    </w:p>
    <w:p>
      <w:pPr>
        <w:pStyle w:val="Heading2"/>
      </w:pPr>
      <w:r>
        <w:t>Erwägungen</w:t>
      </w:r>
    </w:p>
    <w:p>
      <w:r>
        <w:rPr>
          <w:b/>
        </w:rPr>
        <w:t>E. 1.1</w:t>
      </w:r>
    </w:p>
    <w:p>
      <w:r>
        <w:t>Die Staatsanwaltschaft Basel-Landschaft, Hauptabteilung Besondere Delikte, führt ein Strafverfahren gegen A.________ wegen Mordes. Nachdem A.________ am 8. Dezember 2023 von Deutschland in die Schweiz ausgeliefert worden war, versetzte ihn das Zwangsmassnahmengericht Basel-Landschaft mit Entscheid vom 11. Dezember 2023 in Untersuchungshaft. Das Zwangsmassnahmengericht verlängerte diese mehrfach, zuletzt mit Entscheid vom 3. Januar 2025 für die Dauer von drei Monaten bis zum 6. April 2025. Gegen diesen Entscheid erhob A.________ Beschwerde an das Kantonsgericht Basel-Landschaft, welches die Beschwerde mit Beschluss vom 25. Februar 2025 abwies, soweit es darauf eintrat.</w:t>
      </w:r>
    </w:p>
    <w:p>
      <w:r>
        <w:rPr>
          <w:b/>
        </w:rPr>
        <w:t>E. 1.2</w:t>
      </w:r>
    </w:p>
    <w:p>
      <w:r>
        <w:t>Mit Eingabe vom 27. Februar 2025, ergänzt am 21. März 2025, führt A.________ selbständig Beschwerde in Strafsachen und beantragt die Aufhebung des angefochtenen Entscheids und seine sofortige Haftentlassung.</w:t>
      </w:r>
    </w:p>
    <w:p>
      <w:r>
        <w:rPr>
          <w:b/>
        </w:rPr>
        <w:t>E. 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146 IV 297 E. 1.2; 140 III 86 E. 2). Für die Rüge der Verletzung von Grundrechten, einschliesslich der Anfechtung des Sachverhalts wegen Willkür (vgl. Art. 97 Abs. 1 BGG ), gelten qualifizierte Rügeanforderungen ( Art. 106 Abs. 2 BGG ). Auf ungenügend begründete Rügen tritt das Bundesgericht nicht ein ( BGE 147 IV 73 E. 4.1.2).</w:t>
      </w:r>
    </w:p>
    <w:p>
      <w:r>
        <w:rPr>
          <w:b/>
        </w:rPr>
        <w:t>E. 3</w:t>
      </w:r>
    </w:p>
    <w:p>
      <w:r>
        <w:t>Der Beschwerdeführer setzt sich in seiner weitschweifigen Beschwerdeschrift nicht hinreichend substanziiert mit den Erwägungen des angefochtenen Entscheids auseinander. Soweit er umfangreiche Ausführungen zum Rechtshilfeersuchen bzw. zur Auslieferung macht, kann darauf von vornherein nicht eingetreten werden. Streitgegenstand bildet vorliegend einzig die angeordnete Verlängerung der Untersuchungshaft, deren Voraussetzungen die Vorinstanz nachvollziehbar und ausführlich begründet hat. Der Beschwerdeführer beschränkt sich darauf, erneut seitenlange Ausführungen zur angeblichen Verjährung zu machen und die Geschehnisse aus seiner Sicht zu schildern. Vor dem Hintergrund, dass insbesondere die Verjährung und in diesem Zusammenhang das Vorliegen des Tatverdachts vom Bundesgericht ausführlich behandelt worden ist (vgl. die den Beschwerdeführer betreffenden Urteile 7B_1327/2024 vom 13. Januar 2025 sowie 7B_915/2024 vom 1. Oktober 2024, zur Publikation bestimmt), worauf die Vorinstanz verweist (vgl. E. 3.1 des angefochtenen Entscheids), vermag der Beschwerdeführer mit dieser appellatorischen Kritik von vornherein nicht konkret aufzuzeigen, inwiefern die Begründung der Vorinstanz rechts- bzw. verfassungswidrig sein soll. Die Beschwerde genügt damit offensichtlich den dargelegten gesetzlichen Formerfordernissen nicht, weshalb auf sie im vereinfachten Verfahren nach Art. 108 Abs. 1 BGG nicht einzutreten ist.</w:t>
      </w:r>
    </w:p>
    <w:p>
      <w:r>
        <w:rPr>
          <w:b/>
        </w:rPr>
        <w:t>E. 4</w:t>
      </w:r>
    </w:p>
    <w:p>
      <w:r>
        <w:t>Auf die Erhebung von Gerichtskosten wird verzichtet ( Art. 66 Abs. 1 BGG ). Das Gesuch um unentgeltliche Rechtspflege wird damit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