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7B_321/2026 vom 18. März 2026</w:t>
      </w:r>
    </w:p>
    <w:p>
      <w:r>
        <w:t>Bundesgericht, 2026-03-18, FR</w:t>
      </w:r>
    </w:p>
    <w:p>
      <w:r>
        <w:rPr>
          <w:b/>
        </w:rPr>
        <w:t xml:space="preserve">Quelle: </w:t>
      </w:r>
      <w:r>
        <w:t>https://mcp.opencaselaw.ch/entscheid/bger_7B_321_2026</w:t>
      </w:r>
    </w:p>
    <w:p>
      <w:r>
        <w:t>FR: TF 7B_321/2026 du 18 mars 2026</w:t>
      </w:r>
    </w:p>
    <w:p>
      <w:r>
        <w:t>IT: TF 7B_321/2026 del 18 marzo 2026</w:t>
      </w:r>
    </w:p>
    <w:p>
      <w:pPr>
        <w:pStyle w:val="Heading2"/>
      </w:pPr>
      <w:r>
        <w:t>Erwägungen</w:t>
      </w:r>
    </w:p>
    <w:p>
      <w:r>
        <w:rPr>
          <w:b/>
        </w:rPr>
        <w:t>E. 1</w:t>
      </w:r>
    </w:p>
    <w:p>
      <w:r>
        <w:t>Le Tribunal fédéral examine d'office et librement la recevabilité des recours qui lui sont adressés ( ATF 150 IV 103 consid. 1).</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w:t>
      </w:r>
    </w:p>
    <w:p>
      <w:r>
        <w:t>Il appartient au recourant d'alléguer et de démontrer la réalisation des conditions d'application de l' art. 93 al. 1 let. a LTF pour que son recours au Tribunal fédéral soit recevable (cf. art. 42 al. 2 LTF ; ATF 150 IV 308 consid. 1.4.3; 148 IV 155 consid. 1.1; 141 IV 284 consid. 2.3 et 2.4).</w:t>
      </w:r>
    </w:p>
    <w:p>
      <w:r>
        <w:rPr>
          <w:b/>
        </w:rPr>
        <w:t>E. 1.2</w:t>
      </w:r>
    </w:p>
    <w:p>
      <w:r>
        <w:t>En l'occurrence, la cour cantonale a constaté que le recourant, arrêté fortuitement le 16 décembre 2025, n'avait pas encore été entendu par le Ministère public au moment où s'était tenue l'audience de confrontation de deux de ses coprévenus, soit le 17 décembre 2025. Le Ministère public pouvait ainsi légitimement restreindre son droit de participer à cette audience afin de pallier le risque de collusion qui découlait de ces circonstances. Dès lors que l'audience du 17 décembre 2025 n'était entachée d'aucun vice procédural, la cour cantonale a considéré que le procès-verbal de celle-ci était pleinement exploitable (arrêt attaqué, consid. 3.5).</w:t>
      </w:r>
    </w:p>
    <w:p>
      <w:r>
        <w:rPr>
          <w:b/>
        </w:rPr>
        <w:t>E. 1.3</w:t>
      </w:r>
    </w:p>
    <w:p>
      <w:r>
        <w:t>Dans la partie relative à la recevabilité de son recours, le recourant, assisté par une mandataire professionnelle, se contente de soutenir qu'il serait "évident" que "le fait de ne pas trancher à ce stade la question posée", soit "si le prévenu et/ou son conseil (...) avaient ou non le droit de participer à l'audience" litigieuse, "pourrait engendrer un préjudice irréparable pour la suite de la procédure". Cette brève motivation - dont il est permis de douter de la pertinence, dès lors qu'elle ne concerne pas les conséquences du maintien au dossier du moyen de preuve litigieux - ne suffit pas à démontrer la réalisation des conditions d'application de l' art. 93 al. 1 let. a LTF . Il en va par ailleurs de même des ATF 139 IV 25 et 137 IV 340 cités par le recourant à l'appui de cette motivation; ceux-ci ne portent en effet pas sur des questions relatives à l'exploitation de moyens de preuve. Enfin, le caractère illicite du procès-verbal de l'audience litigieuse ne s'impose pas d'emblée et le recourant pourra réitérer ses griefs devant le juge du fond (cf., au sujet des art. 93 LTF et 147 CPP, arrêts 1B_444/2022 du 4 novembre 2022 consid. 2.2; 1B_430/2018 du 17 janvier 2019 consid. 1.4; 1B_424/2016 du 17 novembre 2016 consid. 1.8; 1B_61/2012 du 9 février 2012 consid. 2).</w:t>
      </w:r>
    </w:p>
    <w:p>
      <w:r>
        <w:rPr>
          <w:b/>
        </w:rPr>
        <w:t>E. 2</w:t>
      </w:r>
    </w:p>
    <w:p>
      <w:r>
        <w:t>L'irrecevabilité manifeste du recours doit dès lors être constatée dans la procédure simplifiée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7B_241/2026 du 3 mars 2026 consid. 3).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