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7B_321/2025 vom 10. Juni 2025</w:t>
      </w:r>
    </w:p>
    <w:p>
      <w:r>
        <w:t>Bundesgericht, 2025-06-10, DE</w:t>
      </w:r>
    </w:p>
    <w:p>
      <w:r>
        <w:rPr>
          <w:b/>
        </w:rPr>
        <w:t xml:space="preserve">Quelle: </w:t>
      </w:r>
      <w:r>
        <w:t>https://mcp.opencaselaw.ch/entscheid/bger_7B_321_2025</w:t>
      </w:r>
    </w:p>
    <w:p>
      <w:r>
        <w:t>FR: TF 7B_321/2025 du 10 juin 2025</w:t>
      </w:r>
    </w:p>
    <w:p>
      <w:r>
        <w:t>IT: TF 7B_321/2025 del 10 giugno 2025</w:t>
      </w:r>
    </w:p>
    <w:p>
      <w:pPr>
        <w:pStyle w:val="Heading2"/>
      </w:pPr>
      <w:r>
        <w:t>Erwägungen</w:t>
      </w:r>
    </w:p>
    <w:p>
      <w:r>
        <w:rPr>
          <w:b/>
        </w:rPr>
        <w:t>E. 1</w:t>
      </w:r>
    </w:p>
    <w:p>
      <w:r>
        <w:t>Am 7. September 2023 erstattete der Beschwerdeführer Strafanzeige gegen Angehörige der Luzerner Polizei (B.________, C.________, D.________ sowie zwei weitere männliche Polizisten) wegen Amtsmissbrauchs, Freiheitsberaubung, Nötigung und mittäterschaftlicher Körperverletzung sowie gegen Angehörige der Luzerner Polizei (B.________, C.________) wegen Gehilfenschaft beziehungsweise Mittäterschaft zum Hausfriedensbruch. Am 28. August 2024 verfügte die Staatsanwaltschaft Abteilung 3 Sursee jeweils die Nichtanhandnahme der Strafverfahren. Auf die vom Beschwerdeführer gegen diese Verfügungen beim Kantonsgericht Luzern erhobenen Beschwerden trat dieses mit Verfügung vom 5. März 2025 nicht ein. Dagegen wendet sich der Beschwerdeführer mit Beschwerde vom 9. April 2025 (Postaufgabe) an das Bundesgericht.</w:t>
      </w:r>
    </w:p>
    <w:p>
      <w:r>
        <w:rPr>
          <w:b/>
        </w:rPr>
        <w:t>E. 2</w:t>
      </w:r>
    </w:p>
    <w:p>
      <w:r>
        <w:t>Gegenstand des bundesgerichtlichen Verfahrens sind ausschliesslich die angefochtene Verfügung des Kantonsgerichts vom 5. März 2025 (vgl. Art. 80 Abs. 1, Art. 90 BGG ). Soweit der Beschwerdeführer mehr verlangt oder thematisiert, als von der Vorinstanz beurteilt wurde, ist darauf von vornherein nicht einzutreten (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4</w:t>
      </w:r>
    </w:p>
    <w:p>
      <w:r>
        <w:t>Der Beschwerdeführer macht keinen Zivilanspruch im Sinne von Art. 81 Abs. 1 lit. b Ziff. 5 BGG geltend, aus welchem sich seine Legitimation ergeben könnte. Ein solcher steht dem Beschwerdeführer auch nicht zu: Dem Strafverfahren liegen amtliche Handlungen der von ihm beanzeigten Polizisten zugrunde, die sich in einem gegen ihn geführten Strafverfahren zugetragen haben sollen. Allfällige Ansprüche gegen Angestellte des Gemeinwesens beurteilen sich ausschliesslich nach dem kantonalen Haftungsgesetz vom 13. September 1988 und sind deshalb öffentlich-rechtlicher Natur (§ 4 Abs. 1 i.V.m. § 1 Abs. 2 und § 2 Haftungsgesetz des Kantons Luzern [HG/LU, SRL Nr. 23]). Gegen die Angestellten direkt haben Dritte keinen Anspruch (§ 4 Abs. 4 HG/LU). Damit fehlt es dem Beschwerdeführer an der Sachlegitimation.</w:t>
      </w:r>
    </w:p>
    <w:p>
      <w:r>
        <w:t>Der Beschwerdeführer macht in seiner Beschwerde ferner weder hinreichend substantiiert geltend noch ist ersichtlich, dass er Opfer von unzulässiger staatlicher Gewalt wurde, weshalb auch nicht unter diesem Titel auf seine Beschwerde einzutreten ist (vgl. BGE 141 IV 349 E. 3.4.2; 138 IV 86 E. 3.1.1 ; 131 I 455 E. 1.2.5).</w:t>
      </w:r>
    </w:p>
    <w:p>
      <w:r>
        <w:rPr>
          <w:b/>
        </w:rPr>
        <w:t>E. 5</w:t>
      </w:r>
    </w:p>
    <w:p>
      <w:r>
        <w:t>Formelle Rügen, zu deren Geltendmachung der Beschwerdeführer unbesehen von der fehlenden Legitimation in der Sache befugt wäre, da sie namentlich von der Prüfung der Sache getrennt werden können (sog. "Star-Praxis"; vgl. BGE 141 IV 1 E. 1.1; 141 IV 1 E. 1.1), erhebt er nicht.</w:t>
      </w:r>
    </w:p>
    <w:p>
      <w:r>
        <w:rPr>
          <w:b/>
        </w:rPr>
        <w:t>E. 6</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