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7B_31/2026 vom 1. April 2026</w:t>
      </w:r>
    </w:p>
    <w:p>
      <w:r>
        <w:t>Bundesgericht, 2026-04-01, FR</w:t>
      </w:r>
    </w:p>
    <w:p>
      <w:r>
        <w:rPr>
          <w:b/>
        </w:rPr>
        <w:t xml:space="preserve">Quelle: </w:t>
      </w:r>
      <w:r>
        <w:t>https://mcp.opencaselaw.ch/entscheid/bger_7B_31_2026</w:t>
      </w:r>
    </w:p>
    <w:p>
      <w:r>
        <w:t>FR: TF 7B_31/2026 du 1 avril 2026</w:t>
      </w:r>
    </w:p>
    <w:p>
      <w:r>
        <w:t>IT: TF 7B_31/2026 del 1 aprile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 7B_1040/2024 du 29 novembre 2024 consid. 1.1.3 et les références).</w:t>
      </w:r>
    </w:p>
    <w:p>
      <w:r>
        <w:rPr>
          <w:b/>
        </w:rPr>
        <w:t>E. 1.2</w:t>
      </w:r>
    </w:p>
    <w:p>
      <w:r>
        <w:t>En l'espèce, le recourant - qui se borne à articuler des arguments de fond - ne dit mot sur les prétentions civiles qu'il pourrait élever contre les inconnus visés par sa plainte pénale déposée pour "violation de domicile, atteinte au respect de la vie privée et atteinte à l'intégrité physique" en raison d'"intrusions répétées" à son domicile genevois. De telles prétentions ne peuvent en outre pas être déduites sans ambiguïté de la nature et de la gravité des infraction alléguées.</w:t>
      </w:r>
    </w:p>
    <w:p>
      <w:r>
        <w:t>Le recourant ne démontre par conséquent pas avoir la qualité pour recourir sur le fond en application de l'art. 81 al. 1 let. a et b ch. 5 LTF.</w:t>
      </w:r>
    </w:p>
    <w:p>
      <w:r>
        <w:rPr>
          <w:b/>
        </w:rPr>
        <w:t>E. 1.3</w:t>
      </w:r>
    </w:p>
    <w:p>
      <w:r>
        <w:t>L'hypothèse visée à l'art. 81 al. 1 let. b ch. 6 LTF n'entre pas en considération, dès lors que le recourant ne soulève aucun grief concernant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w:t>
      </w:r>
    </w:p>
    <w:p>
      <w:r>
        <w:t>En l'occurrence, le recourant invoque une violation du droit d'être entendu, de l' art. 310 CPP , du principe</w:t>
      </w:r>
    </w:p>
    <w:p>
      <w:r>
        <w:t>in dubio pro duriore , de l'obligation d'instruire et du principe de la légalité, ainsi que de "la souveraineté territoriale suisse" en lien avec le refus d'ordonner les mesures d'instruction requises, en particulier s'agissant de sa "demande d'audience" et d'expertise portant sur l'enregistrement audio réalisé le 9 février 2025 et transmis au Ministère public le 3 avril 2025, enregistrement qui documenterait selon lui "une présence humaine continue dans son domicile pendant plus de 3 heures". Ses développements à cet égard ne visent qu'à démontrer en quoi les mesures requises auraient été nécessaires afin d'établir ses accusations. Or le refus d'une mesure d'instruction implique d'examiner la pertinence de celle-ci, aspect qui ne peut être appréhendé sans se pencher sur le fond de la cause (cf. arrêt 7B_928/2025 du 1</w:t>
      </w:r>
    </w:p>
    <w:p>
      <w:r>
        <w:t>er décembre 2025 consid. 1.2.3 et les arrêts cités).</w:t>
      </w:r>
    </w:p>
    <w:p>
      <w:r>
        <w:t>Il s'ensuit que ces griefs sont irrecevables à défaut de pouvoir être séparés du fond.</w:t>
      </w:r>
    </w:p>
    <w:p>
      <w:r>
        <w:rPr>
          <w:b/>
        </w:rPr>
        <w:t>E. 2</w:t>
      </w:r>
    </w:p>
    <w:p>
      <w:r>
        <w:t>L'irrecevabilité manifeste du recours doit dès lors être constatée dans la procédure prévue par l' art. 108 al. 1 let. a LTF . Le recourant, qui succombe, supportera les frais judiciaires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