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7B_319/2025 vom 10. Juni 2025</w:t>
      </w:r>
    </w:p>
    <w:p>
      <w:r>
        <w:t>Bundesgericht, 2025-06-10, DE</w:t>
      </w:r>
    </w:p>
    <w:p>
      <w:r>
        <w:rPr>
          <w:b/>
        </w:rPr>
        <w:t xml:space="preserve">Quelle: </w:t>
      </w:r>
      <w:r>
        <w:t>https://mcp.opencaselaw.ch/entscheid/bger_7B_319_2025</w:t>
      </w:r>
    </w:p>
    <w:p>
      <w:r>
        <w:t>FR: TF 7B_319/2025 du 10 juin 2025</w:t>
      </w:r>
    </w:p>
    <w:p>
      <w:r>
        <w:t>IT: TF 7B_319/2025 del 10 giugno 2025</w:t>
      </w:r>
    </w:p>
    <w:p>
      <w:pPr>
        <w:pStyle w:val="Heading2"/>
      </w:pPr>
      <w:r>
        <w:t>Erwägungen</w:t>
      </w:r>
    </w:p>
    <w:p>
      <w:r>
        <w:rPr>
          <w:b/>
        </w:rPr>
        <w:t>E. 1</w:t>
      </w:r>
    </w:p>
    <w:p>
      <w:r>
        <w:t>Der Beschwerdeführer und B.________ wurden am 17. Oktober 2024 in U.________ angehalten und einer Verkehrskontrolle unterzogen. Am 3. Dezember 2024 erstatteten sie Strafanzeige gegen eine bei der Verkehrskontrolle beteiligte "Polizeibeamtin", C.________, der sie im Wesentlichen "Verletzung der Privatsphäre", einfache Körperverletzung und Amtsmissbrauch vorwarfen. Am 17. Februar 2025 verfügte die Staatsanwaltschaft Rheinfelden-Laufenburg die Nichtanhandnahme eines Strafverfahrens, nahm die Verfahrenskosten auf die Staatskasse und sah davon ab, Parteientschädigungen zuzusprechen. Die Verfügung wurde am 18. Februar 2025 durch die Oberstaatsanwaltschaft des Kantons Aargau genehmigt. Auf die vom Beschwerdeführer gegen diese Verfügung beim Obergericht des Kantons Aargau erhobene Beschwerde wurde mit Entscheid vom 18. März 2025 nicht eingetreten. Dagegen gelangt der Beschwerdeführer am 9. April. 2025 (Postaufgabe) mit "Einsprache" ans Bundesgericht und beantragt "die vollständige Überprüfung des Falles".</w:t>
      </w:r>
    </w:p>
    <w:p>
      <w:r>
        <w:rPr>
          <w:b/>
        </w:rPr>
        <w:t>E. 2</w:t>
      </w:r>
    </w:p>
    <w:p>
      <w:r>
        <w:t>Gegenstand des bundesgerichtlichen Verfahrens sind ausschliesslich der angefochtene Entscheid des Obergerichts vom 18. März 2025 (vgl. Art. 80 Abs. 1, Art. 90 BGG ). Soweit der Beschwerdeführer mehr verlangt oder thematisiert, als von der Vorinstanz beurteilt wurde, ist darauf von vornherein nicht einzutreten ( BGE 142 I 155 E. 4.4.2; 136 II 457 E. 4.2; 136 V 362 E. 3.4.2). Dies trifft namentlich auf die Anträge des Beschwerdeführers zu, ein anderes, ihn selbst betreffendes, Strafverfahren solle "endgültig eingestellt" und von einer Eintragung in seinem Strafregister solle abgesehen werden.</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4</w:t>
      </w:r>
    </w:p>
    <w:p>
      <w:r>
        <w:t>Die Vorinstanz trat auf die bei ihr eingereichte Beschwerde vom 7. März 2025 nicht ein, da diese verspätet erhoben worden war (angefochtener Entscheid E. 2). Der Beschwerdeführer bestätigt ausdrücklich, die Beschwerde nicht innert Frist eingereicht zu haben: "Verspätet - das erkenne ich an - reich[t]e ich diesen Einspruch ein, [dies] aufgrund schwerwiegender persönlicher, finanzieller und gesundheitlicher Schwierigkeiten. Doch das Recht auf faire Behandlung und die Wiederherstellung der Wahrheit verjährt nicht und darf auch nicht durch die Unfähigkeit eines Bürgers, rechtzeitig zu handeln, aufgehoben werden." (Beschwerde S. 1). Da einzig dies Prozessgegenstand ist (vgl. E. 2 hiervor), fehlt es der Beschwerde an einer Begründung, weshalb die Vorinstanz mit dem angefochtenen Entscheid Recht im Sinne von Art. 95 BGG verletzt haben soll. Der Begründungsmangel ist offensichtlich.</w:t>
      </w:r>
    </w:p>
    <w:p>
      <w:r>
        <w:t>Im Übrigen macht der Beschwerdeführer keinen Zivilanspruch im Sinne von Art. 81 Abs. 1 lit. b Ziff. 5 BGG geltend, was wiederum eine unzureichenden Begründung darstellt. Ein Zivilanspruch steht dem Beschwerdeführer offensichtlich auch nicht zu: Dem Strafverfahren, das nach dem Willen des Beschwerdeführers durchgeführt werden soll, liegt eine amtliche Handlung der von ihm (und B.________) beanzeigten C.________ anlässlich einer Strassenverkehrskontrolle zugrunde. Allfällige Ansprüche gegen Amtspersonen beurteilen sich ausschliesslich nach dem kantonalen Haftungsgesetz und sind deshalb öffentlich-rechtlicher Natur (vgl. § 1 Abs. 1, § 3 Abs. 1 und § 10 Abs. 1 des Haftungsgesetzes des Kantons Aargau vom 24. März 2009 [Haftungsgesetz/AG; SAR 150.200]; § 75 und § 100 Abs. 3 der kantonalen Verfassung vom 25. Juni 1980 [SAR 110.000]). Damit fehlt es dem Beschwerdeführer an der Sachlegitimation.</w:t>
      </w:r>
    </w:p>
    <w:p>
      <w:r>
        <w:t>Der Beschwerdeführer macht ferner nicht ansatzweise geltend und es ist nicht ersichtlich, dass er Opfer von unzulässiger staatlicher Gewalt wurde, weshalb auch nicht unter diesem Titel auf seine Beschwerde einzutreten ist (vgl. BGE 141 IV 349 E. 3.4.2; 138 IV 86 E. 3.1.1 ; 131 I 455 E. 1.2.5).</w:t>
      </w:r>
    </w:p>
    <w:p>
      <w:r>
        <w:rPr>
          <w:b/>
        </w:rPr>
        <w:t>E. 5</w:t>
      </w:r>
    </w:p>
    <w:p>
      <w:r>
        <w:t>Formelle Rügen, zu deren Geltendmachung der Beschwerdeführer unbesehen von der fehlenden Legitimation in der Sache befugt wäre, da sie namentlich von der Prüfung der Sache getrennt werden können (sog. "Star-Praxis"; vgl. BGE 146 IV 76 E. 2; 141 IV 1 E. 1.1), erhebt er nicht.</w:t>
      </w:r>
    </w:p>
    <w:p>
      <w:r>
        <w:rPr>
          <w:b/>
        </w:rPr>
        <w:t>E. 6</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