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7B_314/2025 vom 22. Mai 2025</w:t>
      </w:r>
    </w:p>
    <w:p>
      <w:r>
        <w:t>Bundesgericht, 2025-05-22, DE</w:t>
      </w:r>
    </w:p>
    <w:p>
      <w:r>
        <w:rPr>
          <w:b/>
        </w:rPr>
        <w:t xml:space="preserve">Quelle: </w:t>
      </w:r>
      <w:r>
        <w:t>https://mcp.opencaselaw.ch/entscheid/bger_7B_314_2025</w:t>
      </w:r>
    </w:p>
    <w:p>
      <w:r>
        <w:t>FR: TF 7B_314/2025 du 22 mai 2025</w:t>
      </w:r>
    </w:p>
    <w:p>
      <w:r>
        <w:t>IT: TF 7B_314/2025 del 22 maggio 2025</w:t>
      </w:r>
    </w:p>
    <w:p>
      <w:pPr>
        <w:pStyle w:val="Heading2"/>
      </w:pPr>
      <w:r>
        <w:t>Erwägungen</w:t>
      </w:r>
    </w:p>
    <w:p>
      <w:r>
        <w:rPr>
          <w:b/>
        </w:rPr>
        <w:t>E. 1</w:t>
      </w:r>
    </w:p>
    <w:p>
      <w:r>
        <w:t>Am 27. Januar 2025 wandte sich der Beschwerdeführer mit einer Eingabe mit dem Betreff "Beschwerde wegen Verstösse der Staatsanwaltschaft und Nichtanhandnahmeverfügung" an das Statthalteramt des Bezirks Zürich. Dieses leitete die Eingabe samt Beilagen an das Obergericht des Kantons Zürich weiter. Mit Verfügung vom 6. März 2025 trat das Obergericht nicht auf die Beschwerde ein. Dagegen wendet sich der Beschwerdeführer mit Beschwerde in Strafsachen vom 7. April 2025 (Postaufgabe) ans Bundesgericht und beantragt "Überprüfung der KESB-Entscheidungen", "Einhaltung der Kinderrechtskonvention" und "Schutzmassnahmen für die Kinder".</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 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3</w:t>
      </w:r>
    </w:p>
    <w:p>
      <w:r>
        <w:t>Die Beschwerde enthält keine Ausführungen zur eigenen Legitimation oder zu einem allfälligen Zivilanspruch im Sinne von Art. 81 Abs. 1 lit. b Ziff. 5 BGG. Auch bleibt offen, weshalb die angefochtene Verfügung - die Vorinstanz begründet ihr Nichteintreten namentlich damit, dass der Beschwerdeführer trotz eingeräumter Möglichkeit nicht aufzuzeigen vermöge, wogegen sich seine Beschwerde überhaupt richte - als sachlich oder rechtlich unzutreffend zu qualifizieren wäre. In der Eingabe ans Bundesgericht bleibt namentlich weiterhin offen, gegen welche staatsanwaltschaftliche Verfügung sich das vom Beschwerdeführer angestrengte vorinstanzliche Verfahren überhaupt richtet. Die Eingabe bleibt damit offensichtlich unter dem erforderlichen Begründungsniveau.</w:t>
      </w:r>
    </w:p>
    <w:p>
      <w:r>
        <w:rPr>
          <w:b/>
        </w:rPr>
        <w:t>E. 4</w:t>
      </w:r>
    </w:p>
    <w:p>
      <w:r>
        <w:t>Formelle Rügen, zu deren Geltendmachung der Beschwerdeführer unbesehen von der fehlenden Legitimation in der Sache befugt wäre, da sie namentlich von der Prüfung der Sache getrennt werden können (sog. "Star-Praxis"; vgl. BGE 141 IV 1 E. 1.1), erhebt er nicht.</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