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7B_314/2024 vom 24. September 2024</w:t>
      </w:r>
    </w:p>
    <w:p>
      <w:r>
        <w:t>Bundesgericht, 2024-09-24, DE</w:t>
      </w:r>
    </w:p>
    <w:p>
      <w:r>
        <w:rPr>
          <w:b/>
        </w:rPr>
        <w:t xml:space="preserve">Quelle: </w:t>
      </w:r>
      <w:r>
        <w:t>https://mcp.opencaselaw.ch/entscheid/bger_7B_314_2024</w:t>
      </w:r>
    </w:p>
    <w:p>
      <w:r>
        <w:t>FR: TF 7B_314/2024 du 24 septembre 2024</w:t>
      </w:r>
    </w:p>
    <w:p>
      <w:r>
        <w:t>IT: TF 7B_314/2024 del 24 settembre 2024</w:t>
      </w:r>
    </w:p>
    <w:p>
      <w:pPr>
        <w:pStyle w:val="Heading2"/>
      </w:pPr>
      <w:r>
        <w:t>Erwägungen</w:t>
      </w:r>
    </w:p>
    <w:p>
      <w:r>
        <w:rPr>
          <w:b/>
        </w:rPr>
        <w:t>E. 1.1</w:t>
      </w:r>
    </w:p>
    <w:p>
      <w:r>
        <w:t>Angefochten ist ein mit Beschwerde in Strafsachen anfechtbarer Entsiegelungsentscheid des ZMG in einer von der BA geführten Strafuntersuchung ( Art. 80 Abs. 2 Satz 3 BGG in Verbindung mit Art. 18 Abs. 1 und Art. 248 StPO sowie Art. 65 Abs. 1-2 StBOG ). Da auch die übrigen Sachurteilsvoraussetzungen von Art. 78 ff. BGG grundsätzlich erfüllt sind, ist auf die Beschwerde einzutreten.</w:t>
      </w:r>
    </w:p>
    <w:p>
      <w:r>
        <w:rPr>
          <w:b/>
        </w:rPr>
        <w:t>E. 1.2</w:t>
      </w:r>
    </w:p>
    <w:p>
      <w:r>
        <w:t>Der Beschwerdeführer rügt unter anderem eine Verletzung von aArt. 248 StPO. Diese Bestimmung wurde mit Wirkung ab dem 1. Januar 2024 revidiert (nArt. 248 und nArt. 248a StPO; AS 2023 468; BBl 2022 1560, 8 f.; BBl 2019 6697). Die Vorinstanz hat das neue Recht angewendet. Die hier streitige Verfügung datiert vom 13. Februar 2024, weshalb das revidierte Recht zur Anwendung kommt ( Art. 448 Abs. 1 StPO in Verbindung mit Art. 95 lit. a BGG ).</w:t>
      </w:r>
    </w:p>
    <w:p>
      <w:r>
        <w:rPr>
          <w:b/>
        </w:rPr>
        <w:t>E. 2.1</w:t>
      </w:r>
    </w:p>
    <w:p>
      <w:r>
        <w:t>Die Beschwerdeführerin ruft zunächst ihre Geschäftsgeheimnisse als Entsiegelungshindernis an. Sie stellt sich auf den Standpunkt, diesbezüglich sei noch das alte Strafverfahrensrecht anwendbar. Aber selbst bei Anwendung der revidierten Bestimmungen der StPO seien hier Geschäftsgeheimnisse bzw. "Geschäftsschutzinteressen" tangiert, die auch nach neuem Recht der Entsiegelung entgegenstünden.</w:t>
      </w:r>
    </w:p>
    <w:p>
      <w:r>
        <w:rPr>
          <w:b/>
        </w:rPr>
        <w:t>E. 2.2</w:t>
      </w:r>
    </w:p>
    <w:p>
      <w:r>
        <w:t>Die Vorinstanz hat im angefochtenen Entscheid die revidierten StPO-Bestimmungen angewendet und gestützt darauf (nArt. 248 Abs. 1 in Verbindung mit Art. 264 StPO ) erwogen, die von der Beschwerdeführerin angerufenen Geschäftsgeheimnisse bildeten kein Entsiegelungshindernis.</w:t>
      </w:r>
    </w:p>
    <w:p>
      <w:r>
        <w:rPr>
          <w:b/>
        </w:rPr>
        <w:t>E. 2.3</w:t>
      </w:r>
    </w:p>
    <w:p>
      <w:r>
        <w:t>Die Rüge der Beschwerdeführerin, die Vorinstanz habe zu Unrecht das revidierte Entsiegelungsrecht angewendet, erweist sich als unbegründet. Wie bereits dargelegt, ist hier ein erstinstanzlicher Entsiegelungsentscheid vom 13. Februar 2024 angefochten. Nach den intertemporalrechtlichen Bestimmungen des Gesetzes hatte das ZMG die am 1. Januar 2024 in Kraft gesetzten neuen Bestimmungen anzuwenden und hat das Bundesgericht zu prüfen, ob die Anwendung der revidierten Bestimmungen durch die Vorinstanz bundesrechtskonform erscheint (nArt. 248 StPO in Verbindung mit Art. 95 lit. a BGG ; vgl. oben, E. 1.2). Daran ändert auch das Vorbringen der Beschwerdeführerin nichts, für die selbstständige Prüfung ihres Siegelungsbegehrens sei noch das alte Recht anwendbar gewesen. Über das Siegelungsbegehren vom 31. Oktober 2023 der Beschwerdeführerin haben die BA mit erstinstanzlichem Entscheid vom 14. November 2023 bzw. das Bundesstrafgericht mit Beschwerdeentscheid vom 28. Dezember 2023 noch altrechtlich und rechtskräftig entschieden. Der Entscheid des Bundesstrafgerichtes wurde nicht angefochten und ist in Rechtskraft erwachsen.</w:t>
      </w:r>
    </w:p>
    <w:p>
      <w:r>
        <w:rPr>
          <w:b/>
        </w:rPr>
        <w:t>E. 2.4</w:t>
      </w:r>
    </w:p>
    <w:p>
      <w:r>
        <w:t>Die Beschwerdeführerin macht weiter geltend, selbst bei Anwendung der neurechtlichen Bestimmungen der StPO bildeten die von ihr angerufenen Geschäftsgeheimnisse ein Entsiegelungshindernis. Auch dieser Argumentation ist nicht zu folgen:</w:t>
      </w:r>
    </w:p>
    <w:p>
      <w:r>
        <w:rPr>
          <w:b/>
        </w:rPr>
        <w:t>E. 2.4.1</w:t>
      </w:r>
    </w:p>
    <w:p>
      <w:r>
        <w:t>Der revidierte Art. 248 Abs. 1 StPO (in Kraft seit 1. Januar 2024) bestimmt Folgendes: 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Damit werden die schutzwürdigen Geheimnisinteressen, die einer Entsiegelung entgegenstehen können, abschliessend definiert und gegenüber dem alten Recht restriktiver gefasst. In Frage kommen nur noch die in Art. 264 StPO geregelten Geheimnisschutzgründe. Geschäftsgeheimnisse bzw. "Geschäftsschutzinteressen" fallen nicht darunter, das Bankkundengeheimnis ( Art. 47 BankG ) ebenfalls nicht.</w:t>
      </w:r>
    </w:p>
    <w:p>
      <w:r>
        <w:rPr>
          <w:b/>
        </w:rPr>
        <w:t>E. 2.4.2</w:t>
      </w:r>
    </w:p>
    <w:p>
      <w:r>
        <w:t>Zwar wurde diese Einschränkung der gesetzlichen Geheimnisschutzgründe im Gesetzgebungsverfahren ausführlich diskutiert und in einem Teil der Literatur kritisiert (vgl. Botschaft und Entwurf des Bundesrates zur Änderung der Strafprozessordnung [Umsetzung der Motion 14.3383, Kommission für Rechtsfragen des Ständerats, Anpassung der Strafprozessordnung] vom 28. August 2019, BBl 2019 6697 ff. [Botschaft und Entwurf], 6750 f.; Votum BR Keller-Sutter, AB N 2021 618). Der Nationalrat hat sich jedoch - in Kenntnis dieser Einwände und Gegenvorschläge - für die restriktive Lösung gemäss seiner Expertengruppe entschieden: Der Bundesrat hatte in seiner Botschaft samt Entwurf noch vorgeschlagen, dass es Betroffenen ermöglicht werden sollte, auch "Fabrikations- und Geschäftsgeheimnisse" als Entsiegelungshindernis anzurufen und glaubhaft zu machen (Botschaft, BBl 2019 6751; Art. 248 Abs. 1 Entwurf, BBl 2019 6795 f.). Der Nationalrat ist diesem Vorschlag jedoch nicht gefolgt. Stattdessen hat er in seiner Revisionsvorlage (Art. 248 Abs. 1 Fassung NR, AB N 2021 621 f.) die im Entsiegelungsverfahren zu schützenden Geheimnisrechte ausdrücklich auf die Beschlagnahmegründe von Art. 264 StPO eingeschränkt. Entgegen dem Vorschlag des Bundesrates (Art. 264 Abs. 3 Entwurf, BBl 2019 6795 f.) hat der Nationalrat die Fabrikations- und Geschäftsgeheimnisse auch nicht in den Katalog möglicher Beschlagnahmehindernisse von Art. 264 StPO aufgenommen (AB N 2021 621 f.; vgl. Votum BR Keller-Sutter, AB N 2021 618). Der Ständerat ist dieser restriktiven Fassung des Nationalrates gefolgt (AB S 2021 1362 ff.).</w:t>
      </w:r>
    </w:p>
    <w:p>
      <w:r>
        <w:rPr>
          <w:b/>
        </w:rPr>
        <w:t>E. 2.4.3</w:t>
      </w:r>
    </w:p>
    <w:p>
      <w:r>
        <w:t>In Art. 264 StPO nicht genannte Geheimnisinteressen sind folglich nicht im Entsiegelungsverfahren vorzubringen. Vielmehr hat die Verfahrensleitung - auf entsprechenden begründeten Antrag von Betroffenen hin - gegebenenfalls zu prüfen, ob sich eine Einschränkung des Akteneinsichtsrechts der Parteien zur Wahrung solcher privater Geheimhaltungsinteressen als erforderlich erweisen könnte ( Art. 108 Abs. 1 lit. b StPO ; s.a. Art. 102 Abs. 1 StPO ). Die Beschwerdeführerin, bei der es sich nicht um eine beschuldigte Person handelt, hat im Entsiegelungsverfahren keine schutzwürdigen Geheimnisse im Sinne von Art. 264 StPO substanziiert.</w:t>
      </w:r>
    </w:p>
    <w:p>
      <w:r>
        <w:rPr>
          <w:b/>
        </w:rPr>
        <w:t>E. 3.1</w:t>
      </w:r>
    </w:p>
    <w:p>
      <w:r>
        <w:t>In verfahrensrechtlicher Hinsicht rügt die Beschwerdeführerin weiter, das Entsiegelungsgesuch der BA vom 18. Januar 2024 sei verspätet; die Vorinstanz habe darauf nicht eintreten dürfen. Anstatt sofort nach Eingang des Siegelungsbegehrens vom 31. Oktober 2023 innert der Frist von 20 Tagen (aArt. 248 Abs. 2 StPO, nArt. 248 Abs. 3 StPO) das Entsiegelungsgesuch zu stellen, habe sich die BA "angemasst", die Zulässigkeit des Siegelungsbegehrens zu prüfen und dieses mit Verfügung vom 14. November 2023 abzuweisen. Die von ihr, der Beschwerdeführerin, dagegen erhobene Beschwerde habe das Bundesstrafgericht am 28. Dezember 2023 gutgeheissen, worauf die Unterlagen am 5. Januar 2024 versiegelt worden seien. Da die gesetzliche Frist für das Entsiegelungsgesuch - nach Ansicht der Beschwerdeführerin - schon am 7. November 2023 zu laufen begonnen habe, sei das Gesuch verspätet erfolgt.</w:t>
      </w:r>
    </w:p>
    <w:p>
      <w:r>
        <w:rPr>
          <w:b/>
        </w:rPr>
        <w:t>E. 3.2</w:t>
      </w:r>
    </w:p>
    <w:p>
      <w:r>
        <w:t>Die Rüge der Verletzung von Bundesrecht ist unbegründet: 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Strafverfolgungsbehörde darf ein offensichtlich unbegründetes oder missbräuchliches Siegelungsbegehren direkt ablehnen bzw. darauf nicht eintreten, wenn klarerweise keine Siegelungsberechtigung besteht oder das Begehren offensichtlich verspätet gestellt wurde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das ZMG bzw. schon die Untersuchungsbehörde das Siegelungsbegehren abschlägig behandelt und entsprechende Vorbringen - mangels einzuleitendem gerichtlichem Entsiegelungsverfahren - nicht gehört werden können (Urteile 7B_35/2024 vom 21. Mai 2024 E. 3.1; 7B_554/2023 vom 23. April 2024 E. 5.3; 7B_97/2022 vom 28. September 2023 E. 4.3; 1B_604/2021 vom 23. November 2022 E. 5.4; je mit Hinweisen). Als siegelungsberechtigt gelten insbesondere Konteninhaber bezüglich edierter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Urteile 7B_35/2024 E. 3.1; 7B_554/2023 E. 5.3; 7B_97/2022 E. 4.3; Urteil 1B_464/2012 vom 7. März 2013 E. 3).</w:t>
      </w:r>
    </w:p>
    <w:p>
      <w:r>
        <w:rPr>
          <w:b/>
        </w:rPr>
        <w:t>E. 3.3</w:t>
      </w:r>
    </w:p>
    <w:p>
      <w:r>
        <w:t>Im vorliegenden Fall hat die BA die Zulässigkeit des Siegelungsbegehrens mit Verfügung vom 14. November 2023 geprüft und verneint. Zwar hat das Bundesstrafgericht die von der Beschwerdeführerin dagegen erhobene Beschwerde am 28. Dezember 2023 gutgeheissen und die Verfügung der BA aufgehoben, worauf diese die Unterlagen am 5. Januar 2024 unverzüglich versiegelt hat. Dies bedeutet jedoch nicht, dass die BA das Entsiegelungsgesuch bereits - rückwirkend auf 7. November 2023 - hätte gestellt haben müssen, mit der Wirkung, dass damals bereits eine Frist zur Einreichung des Gesuches zu laufen begonnen hätte. Eine rechtskräftige Siegelung lag erst am 5. Januar 2024 vor, weshalb die 20-tägige Frist zur Einreichung des Entsiegelungsgesuches erst ab diesem Datum lief und das am 18. Januar 2024 gestellte Gesuch rechtzeitig erfolgt ist (nArt. 248 Abs. 3 StPO).</w:t>
      </w:r>
    </w:p>
    <w:p>
      <w:r>
        <w:rPr>
          <w:b/>
        </w:rPr>
        <w:t>E. 4.1</w:t>
      </w:r>
    </w:p>
    <w:p>
      <w:r>
        <w:t>Schliesslich macht die Beschwerdeführerin geltend, es fehle an einem hinreichenden Tatverdacht eines Verbrechens oder Vergehens und an der Untersuchungsrelevanz der versiegelten Unterlagen, bzw. das ZMG habe die betreffenden Entsiegelungsvoraussetzungen zu Unrecht nicht geprüft. Sie habe im Entsiegelungsverfahren den hinreichenden Tatverdacht und die Untersuchungsrelevanz der erhobenen Beweismittel ausdrücklich bestritten. Die Vorinstanz habe das Entsiegelungsgesuch der BA gutgeheissen, ohne die betreffenden Voraussetzungen zu prüfen. Damit habe das ZMG das rechtliche Gehör der Beschwerdeführerin bzw. die richterliche Begründungspflicht verletzt. Entgegen der Auffassung der Vorinstanz seien die gesetzlichen Entsiegelungsvoraussetzungen nicht in einem separaten StPO-Beschwerdeverfahren ersatzweise zu prüfen gewesen, zumal sich die Beschwerdeführerin schon in ihrem Siegelungsbegehren auf Geheimnisrechte berufen habe. Sie beantragt im Eventualstandpunkt die Aufhebung des angefochtenen Entscheides und die Rückweisung der Sache an die Vorinstanz zur ergänzenden materiellen Prüfung der fraglichen Entsiegelungsvoraussetzungen.</w:t>
      </w:r>
    </w:p>
    <w:p>
      <w:r>
        <w:rPr>
          <w:b/>
        </w:rPr>
        <w:t>E. 4.2</w:t>
      </w:r>
    </w:p>
    <w:p>
      <w:r>
        <w:t>Im angefochtenen Entscheid wird erwogen, mangels rechtlich geschützter Geheimnisinteressen habe das ZMG nicht weiter auf die akzessorischen Einwände der Beschwerdeführerin einzugehen gehabt, wonach es vorliegend am hinreichenden Tatverdacht auf Betrug und Geldwäscherei bzw. an der potenziellen Beweistauglichkeit der edierten Unterlagen fehle. Da die gemäss Entsiegelungsentscheid zu durchsuchenden Beweismittel im Falle ihrer Untersuchungsrelevanz noch förmlich zu beschlagnahmen sein würden, stehe der Beschwerdeführerin der StPO-Beschwerdeweg gegen eine allfällige Beschlagnahmeverfügung offen, in dessen Rahmen sie ihre akzessorischen Einwände nötigenfalls vorbringen könnte.</w:t>
      </w:r>
    </w:p>
    <w:p>
      <w:r>
        <w:rPr>
          <w:b/>
        </w:rPr>
        <w:t>E. 4.3</w:t>
      </w:r>
    </w:p>
    <w:p>
      <w:r>
        <w:t>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 BGE 144 IV 74 E. 2.3-2.7; Urteil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w:t>
      </w:r>
    </w:p>
    <w:p>
      <w:r>
        <w:rPr>
          <w:b/>
        </w:rPr>
        <w:t>E. 4.4</w:t>
      </w:r>
    </w:p>
    <w:p>
      <w:r>
        <w:t>Wie bereits dargelegt, hat die Beschwerdeführerin im Entsiegelungsverfahren keine gesetzlich geschützten Geheimnisrechte (nArt. 248 Abs. 1 in Verbindung mit Art. 264 StPO ) angerufen (vgl. oben, E. 2.4). Die allgemeinen Zwangsmassnahmenvoraussetzungen von Art. 197 StPO sind hier daher, wie die Vorinstanz zutreffend erwägt, nicht akzessorisch mitzuprüfen. Das ZMG weist ebenfalls mit Recht darauf hin, dass die BA nach erfolgter Durchsuchung der entsiegelten Unterlagen allfällige untersuchungsrelevante Aufzeichnungen als Beweismittel förmlich zu beschlagnahmen haben würde ( Art. 263 Abs. 1 lit. a StPO ). Der Beschwerdeführerin stünde es somit frei, die allgemeinen Zwangsmassnahmenvoraussetzungen von Art. 197 StPO , darunter den hinreichenden Tatverdacht eines Verbrechens oder Vergehens (lit. b) oder die Untersuchungsrelevanz der erhobenen Beweismittel (lit. c), nötigenfalls im Rahmen einer StPO-Beschwerde gegen eine allfällige Beschlagnahmeverfügung zu bestreiten ( Art. 393 Abs. 1 lit. a StPO ). Geheimnisschutzgründe stehen hier der bewilligten Entsiegelung und Durchsuchung nicht entgegen.</w:t>
      </w:r>
    </w:p>
    <w:p>
      <w:r>
        <w:rPr>
          <w:b/>
        </w:rPr>
        <w:t>E. 5</w:t>
      </w:r>
    </w:p>
    <w:p>
      <w:r>
        <w:t>Die Beschwerde ist abzuweisen.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