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7B_313/2023 vom 25. September 2023</w:t>
      </w:r>
    </w:p>
    <w:p>
      <w:r>
        <w:t>Bundesgericht, 2023-09-25, FR</w:t>
      </w:r>
    </w:p>
    <w:p>
      <w:r>
        <w:rPr>
          <w:b/>
        </w:rPr>
        <w:t xml:space="preserve">Quelle: </w:t>
      </w:r>
      <w:r>
        <w:t>https://mcp.opencaselaw.ch/entscheid/bger_7B_313_2023</w:t>
      </w:r>
    </w:p>
    <w:p>
      <w:r>
        <w:t>FR: TF 7B_313/2023 du 25 septembre 2023</w:t>
      </w:r>
    </w:p>
    <w:p>
      <w:r>
        <w:t>IT: TF 7B_313/2023 del 25 settembre 2023</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en substance considéré que le recours contre l'ordonnance de non-entrée en matière du 14 février 2023 était insuffisamment motivé, de sorte qu'il ne satisfaisait pas aux exigences de motivation légales (cf. art. 385 al. 1 et 396 al. 1 CPP).</w:t>
      </w:r>
    </w:p>
    <w:p>
      <w:r>
        <w:t>Cela étant, face aux motifs fondant l'arrêt attaqué, le recourant - qui se limite à soulever des arguments de fond - échoue à mettre en évidence, par une motivation conforme aux exigences en la matière, en quoi l'autorité précédente aurait violé le droit (soit les art. 385 et 396 CPP ) en n'entrant pas en matière sur son recours cantonal.</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